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pPr>
        <w:pStyle w:val="FirstParagraph"/>
      </w:pPr>
      <w:r>
        <w:t xml:space="preserve">A third field could be there too: date. For details, please check out</w:t>
      </w:r>
      <w:r>
        <w:t xml:space="preserve"> </w:t>
      </w:r>
      <w:hyperlink r:id="rId22">
        <w:r>
          <w:rPr>
            <w:rStyle w:val="Hyper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pPr>
        <w:pStyle w:val="BodyText"/>
      </w:pPr>
      <w:r>
        <w:t xml:space="preserve">As you can see writing and formatting paragraphs cannot be easier :)</w:t>
      </w:r>
    </w:p>
    <w:p>
      <w:pPr>
        <w:pStyle w:val="BodyText"/>
      </w:pPr>
      <w:r>
        <w:t xml:space="preserve">But what about</w:t>
      </w:r>
      <w:r>
        <w:t xml:space="preserve"> </w:t>
      </w:r>
      <w:hyperlink r:id="rId23">
        <w:r>
          <w:rPr>
            <w:rStyle w:val="Hyper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pPr>
        <w:pStyle w:val="FirstParagraph"/>
      </w:pPr>
      <w:r>
        <w:rPr>
          <w:rStyle w:val="VerbatimChar"/>
        </w:rPr>
        <w:t xml:space="preserve">Pander.brew</w:t>
      </w:r>
      <w:r>
        <w:t xml:space="preserve"> </w:t>
      </w:r>
      <w:r>
        <w:t xml:space="preserve">would transform any returned R object to Pandoc's markdown in each code block.</w:t>
      </w:r>
    </w:p>
    <w:p>
      <w:pPr>
        <w:pStyle w:val="BodyText"/>
      </w:pPr>
      <w:r>
        <w:t xml:space="preserve">For example</w:t>
      </w:r>
      <w:r>
        <w:t xml:space="preserve"> </w:t>
      </w:r>
      <w:r>
        <w:rPr>
          <w:rStyle w:val="VerbatimChar"/>
        </w:rPr>
        <w:t xml:space="preserve">mtcars</w:t>
      </w:r>
      <w:r>
        <w:t xml:space="preserve">'s first 5 cases look like:</w:t>
      </w:r>
    </w:p>
    <w:p>
      <w:pPr>
        <w:pStyle w:val="TableCaption"/>
      </w:pPr>
      <w:r>
        <w:t xml:space="preserve">Table continues below</w:t>
      </w:r>
    </w:p>
    <w:tbl>
      <w:tblPr>
        <w:tblStyle w:val="TableNormal"/>
        <w:tblW w:type="pct" w:w="5000.0"/>
        <w:tblLook w:firstRow="1"/>
        <w:tblCaption w:val="Table continues below"/>
      </w:tblPr>
      <w:tblGrid>
        <w:gridCol w:w="2436"/>
        <w:gridCol w:w="609"/>
        <w:gridCol w:w="609"/>
        <w:gridCol w:w="710"/>
        <w:gridCol w:w="507"/>
        <w:gridCol w:w="710"/>
        <w:gridCol w:w="609"/>
        <w:gridCol w:w="710"/>
        <w:gridCol w:w="507"/>
        <w:gridCol w:w="507"/>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tbl>
      <w:tblPr>
        <w:tblStyle w:val="TableNormal"/>
        <w:tblW w:type="pct" w:w="2638.888888888889"/>
        <w:tblLook w:firstRow="1"/>
      </w:tblPr>
      <w:tblGrid>
        <w:gridCol w:w="2640"/>
        <w:gridCol w:w="770"/>
        <w:gridCol w:w="77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pPr>
        <w:pStyle w:val="BodyText"/>
      </w:pPr>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Hyperlink"/>
          </w:rPr>
          <w:t xml:space="preserve">panderOption</w:t>
        </w:r>
      </w:hyperlink>
      <w:r>
        <w:t xml:space="preserve">!</w:t>
      </w:r>
    </w:p>
    <w:p>
      <w:pPr>
        <w:pStyle w:val="BodyText"/>
      </w:pPr>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tbl>
      <w:tblPr>
        <w:tblStyle w:val="TableNormal"/>
        <w:tblW w:type="pct" w:w="2569.444444444445"/>
        <w:tblLook w:firstRow="1"/>
        <w:tblCaption w:val="Pearson's Chi-squared test: mtcars$am and mtcars$gear"/>
      </w:tblPr>
      <w:tblGrid>
        <w:gridCol w:w="1870"/>
        <w:gridCol w:w="550"/>
        <w:gridCol w:w="165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2.831e-05 * * *</w:t>
            </w:r>
          </w:p>
        </w:tc>
      </w:tr>
    </w:tbl>
    <w:p>
      <w:pPr>
        <w:pStyle w:val="BodyText"/>
      </w:pPr>
      <w:r>
        <w:rPr>
          <w:b/>
        </w:rPr>
        <w:t xml:space="preserve">WARNING</w:t>
      </w:r>
      <w:r>
        <w:rPr>
          <w:rStyle w:val="FootnoteReference"/>
        </w:rPr>
        <w:footnoteReference w:id="26"/>
      </w:r>
    </w:p>
    <w:p>
      <w:pPr>
        <w:pStyle w:val="BodyText"/>
      </w:pPr>
      <w:r>
        <w:t xml:space="preserve">And we got a warning above!</w:t>
      </w:r>
    </w:p>
    <w:p>
      <w:pPr>
        <w:pStyle w:val="Heading2"/>
      </w:pPr>
      <w:bookmarkStart w:id="27" w:name="returning-plot"/>
      <w:bookmarkEnd w:id="27"/>
      <w:r>
        <w:t xml:space="preserve">Returning plot</w:t>
      </w:r>
    </w:p>
    <w:p>
      <w:pPr>
        <w:pStyle w:val="FirstParagraph"/>
      </w:pPr>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pPr>
        <w:pStyle w:val="BodyText"/>
      </w:pPr>
      <w:r>
        <w:drawing>
          <wp:inline>
            <wp:extent cx="5334000" cy="533400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WARNING</w:t>
      </w:r>
      <w:r>
        <w:rPr>
          <w:rStyle w:val="FootnoteReference"/>
        </w:rPr>
        <w:footnoteReference w:id="30"/>
      </w:r>
    </w:p>
    <w:p>
      <w:pPr>
        <w:pStyle w:val="BodyText"/>
      </w:pPr>
      <w:r>
        <w:t xml:space="preserve">This should be quite similar by my intention :)</w:t>
      </w:r>
    </w:p>
    <w:p>
      <w:pPr>
        <w:pStyle w:val="BodyText"/>
      </w:pPr>
      <w:r>
        <w:t xml:space="preserve">What about</w:t>
      </w:r>
      <w:r>
        <w:t xml:space="preserve"> </w:t>
      </w:r>
      <w:r>
        <w:rPr>
          <w:rStyle w:val="VerbatimChar"/>
        </w:rPr>
        <w:t xml:space="preserve">ggplot2</w:t>
      </w:r>
      <w:r>
        <w:t xml:space="preserve">?</w:t>
      </w:r>
    </w:p>
    <w:p>
      <w:pPr>
        <w:pStyle w:val="Figure"/>
      </w:pPr>
      <w:r>
        <w:drawing>
          <wp:inline>
            <wp:extent cx="5334000" cy="533400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And adding a caption is easy with even some modified</w:t>
      </w:r>
      <w:r>
        <w:t xml:space="preserve"> </w:t>
      </w:r>
      <w:r>
        <w:rPr>
          <w:rStyle w:val="VerbatimChar"/>
        </w:rPr>
        <w:t xml:space="preserve">panderOptions</w:t>
      </w:r>
      <w:r>
        <w:t xml:space="preserve">:</w:t>
      </w:r>
    </w:p>
    <w:p>
      <w:pPr>
        <w:pStyle w:val="FigureWithCaption"/>
      </w:pPr>
      <w:r>
        <w:drawing>
          <wp:inline>
            <wp:extent cx="5334000" cy="533400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pPr>
        <w:pStyle w:val="FirstParagraph"/>
      </w:pPr>
      <w:r>
        <w:t xml:space="preserve">Just like with tables:</w:t>
      </w:r>
    </w:p>
    <w:p>
      <w:pPr>
        <w:pStyle w:val="TableCaption"/>
      </w:pPr>
      <w:r>
        <w:t xml:space="preserve">Here goes the first two lines of USArrests</w:t>
      </w:r>
    </w:p>
    <w:tbl>
      <w:tblPr>
        <w:tblStyle w:val="TableNormal"/>
        <w:tblW w:type="pct" w:w="3472.2222222222226"/>
        <w:tblLook w:firstRow="1"/>
        <w:tblCaption w:val="Here goes the first two lines of USArrests"/>
      </w:tblPr>
      <w:tblGrid>
        <w:gridCol w:w="1540"/>
        <w:gridCol w:w="990"/>
        <w:gridCol w:w="1100"/>
        <w:gridCol w:w="1210"/>
        <w:gridCol w:w="66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Heading1"/>
      </w:pPr>
      <w:bookmarkStart w:id="34" w:name="multiple-results"/>
      <w:bookmarkEnd w:id="34"/>
      <w:r>
        <w:t xml:space="preserve">Multiple results</w:t>
      </w:r>
    </w:p>
    <w:p>
      <w:pPr>
        <w:pStyle w:val="FirstParagraph"/>
      </w:pPr>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pPr>
        <w:pStyle w:val="FirstParagraph"/>
      </w:pPr>
      <w:r>
        <w:rPr>
          <w:b/>
        </w:rPr>
        <w:t xml:space="preserve">ERROR</w:t>
      </w:r>
      <w:r>
        <w:rPr>
          <w:rStyle w:val="FootnoteReference"/>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Chi-squared approximation may be incorrect</w:t>
      </w:r>
    </w:p>
  </w:footnote>
  <w:footnote w:id="30">
    <w:p>
      <w:pPr>
        <w:pStyle w:val="FootnoteText"/>
      </w:pPr>
      <w:r>
        <w:rPr>
          <w:rStyle w:val="FootnoteReference"/>
        </w:rPr>
        <w:footnoteRef/>
      </w:r>
      <w:r>
        <w:t xml:space="preserve"> </w:t>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erence"/>
        </w:rPr>
        <w:footnoteRef/>
      </w:r>
      <w:r>
        <w:t xml:space="preserve"> </w:t>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0720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177f4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