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10</w:t>
      </w:r>
      <w:r>
        <w:t xml:space="preserve"> </w:t>
      </w:r>
      <w:r>
        <w:t xml:space="preserve">22:54:36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f2d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