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3F35" w14:textId="77777777" w:rsidR="003301C0" w:rsidRPr="007C6423" w:rsidRDefault="003301C0" w:rsidP="003301C0">
      <w:pPr>
        <w:spacing w:before="2880" w:after="480"/>
        <w:jc w:val="center"/>
        <w:rPr>
          <w:rFonts w:ascii="Times New Roman" w:hAnsi="Times New Roman" w:cs="Times New Roman"/>
          <w:sz w:val="52"/>
          <w:szCs w:val="52"/>
        </w:rPr>
      </w:pPr>
      <w:r w:rsidRPr="007C6423">
        <w:rPr>
          <w:rFonts w:ascii="Times New Roman" w:hAnsi="Times New Roman" w:cs="Times New Roman"/>
          <w:b/>
          <w:bCs/>
          <w:color w:val="1F3864"/>
          <w:sz w:val="52"/>
          <w:szCs w:val="52"/>
        </w:rPr>
        <w:t>Gold Price Analytics Dashboard</w:t>
      </w:r>
    </w:p>
    <w:p w14:paraId="4BA19D3C" w14:textId="77777777" w:rsidR="003301C0" w:rsidRPr="007C6423" w:rsidRDefault="003301C0" w:rsidP="003301C0">
      <w:pPr>
        <w:pBdr>
          <w:bottom w:val="single" w:sz="8" w:space="4" w:color="B8900A"/>
        </w:pBdr>
        <w:spacing w:after="240"/>
        <w:jc w:val="center"/>
        <w:rPr>
          <w:rFonts w:ascii="Times New Roman" w:hAnsi="Times New Roman" w:cs="Times New Roman"/>
          <w:sz w:val="40"/>
          <w:szCs w:val="40"/>
        </w:rPr>
      </w:pPr>
      <w:r w:rsidRPr="007C6423">
        <w:rPr>
          <w:rFonts w:ascii="Times New Roman" w:hAnsi="Times New Roman" w:cs="Times New Roman"/>
          <w:color w:val="B8900A"/>
          <w:sz w:val="40"/>
          <w:szCs w:val="40"/>
        </w:rPr>
        <w:t>Final Project Report</w:t>
      </w:r>
    </w:p>
    <w:p w14:paraId="1219DD7E" w14:textId="77777777" w:rsidR="003301C0" w:rsidRPr="007C6423" w:rsidRDefault="003301C0" w:rsidP="003301C0">
      <w:pPr>
        <w:spacing w:before="60" w:after="60"/>
        <w:jc w:val="center"/>
        <w:rPr>
          <w:rFonts w:ascii="Times New Roman" w:hAnsi="Times New Roman" w:cs="Times New Roman"/>
        </w:rPr>
      </w:pPr>
    </w:p>
    <w:p w14:paraId="0552E453" w14:textId="77777777" w:rsidR="003301C0" w:rsidRPr="007C6423" w:rsidRDefault="003301C0" w:rsidP="003301C0">
      <w:pPr>
        <w:jc w:val="center"/>
        <w:rPr>
          <w:rFonts w:ascii="Times New Roman" w:hAnsi="Times New Roman" w:cs="Times New Roman"/>
          <w:sz w:val="24"/>
          <w:szCs w:val="24"/>
        </w:rPr>
      </w:pPr>
      <w:r w:rsidRPr="007C6423">
        <w:rPr>
          <w:rFonts w:ascii="Times New Roman" w:hAnsi="Times New Roman" w:cs="Times New Roman"/>
          <w:sz w:val="24"/>
          <w:szCs w:val="24"/>
        </w:rPr>
        <w:t>COMP-3250 Data Analytics I</w:t>
      </w:r>
    </w:p>
    <w:p w14:paraId="580DE472" w14:textId="77777777" w:rsidR="003301C0" w:rsidRPr="007C6423" w:rsidRDefault="003301C0" w:rsidP="003301C0">
      <w:pPr>
        <w:jc w:val="center"/>
        <w:rPr>
          <w:rFonts w:ascii="Times New Roman" w:hAnsi="Times New Roman" w:cs="Times New Roman"/>
          <w:sz w:val="24"/>
          <w:szCs w:val="24"/>
        </w:rPr>
      </w:pPr>
      <w:r w:rsidRPr="007C6423">
        <w:rPr>
          <w:rFonts w:ascii="Times New Roman" w:hAnsi="Times New Roman" w:cs="Times New Roman"/>
          <w:sz w:val="24"/>
          <w:szCs w:val="24"/>
        </w:rPr>
        <w:t>Andreas Maniatis</w:t>
      </w:r>
    </w:p>
    <w:p w14:paraId="3DC34D4C" w14:textId="68312A0D" w:rsidR="003301C0" w:rsidRPr="007C6423" w:rsidRDefault="003301C0" w:rsidP="003301C0">
      <w:pPr>
        <w:jc w:val="center"/>
        <w:rPr>
          <w:rFonts w:ascii="Times New Roman" w:hAnsi="Times New Roman" w:cs="Times New Roman"/>
          <w:sz w:val="24"/>
          <w:szCs w:val="24"/>
        </w:rPr>
      </w:pPr>
      <w:r w:rsidRPr="007C6423">
        <w:rPr>
          <w:rFonts w:ascii="Times New Roman" w:hAnsi="Times New Roman" w:cs="Times New Roman"/>
          <w:sz w:val="24"/>
          <w:szCs w:val="24"/>
        </w:rPr>
        <w:t>March 29, 2026</w:t>
      </w:r>
    </w:p>
    <w:p w14:paraId="15191875" w14:textId="77777777" w:rsidR="003301C0" w:rsidRPr="007C6423" w:rsidRDefault="003301C0" w:rsidP="003301C0">
      <w:pPr>
        <w:jc w:val="both"/>
        <w:rPr>
          <w:rFonts w:ascii="Times New Roman" w:hAnsi="Times New Roman" w:cs="Times New Roman"/>
          <w:sz w:val="24"/>
          <w:szCs w:val="24"/>
        </w:rPr>
      </w:pPr>
    </w:p>
    <w:p w14:paraId="7407D713" w14:textId="77777777" w:rsidR="003301C0" w:rsidRPr="007C6423" w:rsidRDefault="003301C0" w:rsidP="003301C0">
      <w:pPr>
        <w:jc w:val="both"/>
        <w:rPr>
          <w:rFonts w:ascii="Times New Roman" w:hAnsi="Times New Roman" w:cs="Times New Roman"/>
          <w:sz w:val="24"/>
          <w:szCs w:val="24"/>
        </w:rPr>
      </w:pPr>
    </w:p>
    <w:p w14:paraId="1398A7D7" w14:textId="77777777" w:rsidR="003301C0" w:rsidRPr="007C6423" w:rsidRDefault="003301C0" w:rsidP="003301C0">
      <w:pPr>
        <w:jc w:val="both"/>
        <w:rPr>
          <w:rFonts w:ascii="Times New Roman" w:hAnsi="Times New Roman" w:cs="Times New Roman"/>
          <w:sz w:val="24"/>
          <w:szCs w:val="24"/>
        </w:rPr>
      </w:pPr>
    </w:p>
    <w:p w14:paraId="6834263B" w14:textId="6BD2DDEC" w:rsidR="003301C0" w:rsidRPr="007C6423" w:rsidRDefault="003301C0" w:rsidP="003301C0">
      <w:pPr>
        <w:jc w:val="both"/>
        <w:rPr>
          <w:rFonts w:ascii="Times New Roman" w:hAnsi="Times New Roman" w:cs="Times New Roman"/>
          <w:sz w:val="24"/>
          <w:szCs w:val="24"/>
        </w:rPr>
      </w:pPr>
      <w:r w:rsidRPr="007C6423">
        <w:rPr>
          <w:rFonts w:ascii="Times New Roman" w:hAnsi="Times New Roman" w:cs="Times New Roman"/>
          <w:sz w:val="24"/>
          <w:szCs w:val="24"/>
        </w:rPr>
        <w:br/>
      </w:r>
    </w:p>
    <w:p w14:paraId="58C5097E" w14:textId="77777777" w:rsidR="003301C0" w:rsidRPr="007C6423" w:rsidRDefault="003301C0" w:rsidP="003301C0">
      <w:pPr>
        <w:jc w:val="both"/>
        <w:rPr>
          <w:rFonts w:ascii="Times New Roman" w:hAnsi="Times New Roman" w:cs="Times New Roman"/>
          <w:sz w:val="24"/>
          <w:szCs w:val="24"/>
        </w:rPr>
      </w:pPr>
    </w:p>
    <w:p w14:paraId="5A0BB3BA" w14:textId="7B7A5F1D" w:rsidR="003301C0" w:rsidRPr="007C6423" w:rsidRDefault="003301C0" w:rsidP="003301C0">
      <w:pPr>
        <w:rPr>
          <w:rFonts w:ascii="Times New Roman" w:hAnsi="Times New Roman" w:cs="Times New Roman"/>
          <w:sz w:val="24"/>
          <w:szCs w:val="24"/>
        </w:rPr>
      </w:pPr>
      <w:r w:rsidRPr="007C6423">
        <w:rPr>
          <w:rFonts w:ascii="Times New Roman" w:hAnsi="Times New Roman" w:cs="Times New Roman"/>
          <w:sz w:val="24"/>
          <w:szCs w:val="24"/>
        </w:rPr>
        <w:t>Aakanksha Mandal</w:t>
      </w:r>
      <w:r w:rsidRPr="007C6423">
        <w:rPr>
          <w:rFonts w:ascii="Times New Roman" w:hAnsi="Times New Roman" w:cs="Times New Roman"/>
          <w:sz w:val="24"/>
          <w:szCs w:val="24"/>
        </w:rPr>
        <w:tab/>
      </w:r>
      <w:r w:rsidRPr="007C6423">
        <w:rPr>
          <w:rFonts w:ascii="Times New Roman" w:hAnsi="Times New Roman" w:cs="Times New Roman"/>
          <w:sz w:val="24"/>
          <w:szCs w:val="24"/>
        </w:rPr>
        <w:tab/>
      </w:r>
      <w:r w:rsidRPr="007C6423">
        <w:rPr>
          <w:rFonts w:ascii="Times New Roman" w:hAnsi="Times New Roman" w:cs="Times New Roman"/>
          <w:sz w:val="24"/>
          <w:szCs w:val="24"/>
        </w:rPr>
        <w:tab/>
        <w:t>Abhishek Chaparala</w:t>
      </w:r>
      <w:r w:rsidRPr="007C6423">
        <w:rPr>
          <w:rFonts w:ascii="Times New Roman" w:hAnsi="Times New Roman" w:cs="Times New Roman"/>
          <w:sz w:val="24"/>
          <w:szCs w:val="24"/>
        </w:rPr>
        <w:tab/>
      </w:r>
      <w:r w:rsidRPr="007C6423">
        <w:rPr>
          <w:rFonts w:ascii="Times New Roman" w:hAnsi="Times New Roman" w:cs="Times New Roman"/>
          <w:sz w:val="24"/>
          <w:szCs w:val="24"/>
        </w:rPr>
        <w:tab/>
        <w:t xml:space="preserve">          Brett Adams</w:t>
      </w:r>
      <w:r w:rsidRPr="007C6423">
        <w:rPr>
          <w:rFonts w:ascii="Times New Roman" w:hAnsi="Times New Roman" w:cs="Times New Roman"/>
          <w:sz w:val="24"/>
          <w:szCs w:val="24"/>
        </w:rPr>
        <w:br/>
        <w:t>110189000</w:t>
      </w:r>
      <w:r w:rsidRPr="007C6423">
        <w:rPr>
          <w:rFonts w:ascii="Times New Roman" w:hAnsi="Times New Roman" w:cs="Times New Roman"/>
          <w:sz w:val="24"/>
          <w:szCs w:val="24"/>
        </w:rPr>
        <w:tab/>
      </w:r>
      <w:r w:rsidRPr="007C6423">
        <w:rPr>
          <w:rFonts w:ascii="Times New Roman" w:hAnsi="Times New Roman" w:cs="Times New Roman"/>
          <w:sz w:val="24"/>
          <w:szCs w:val="24"/>
        </w:rPr>
        <w:tab/>
      </w:r>
      <w:r w:rsidRPr="007C6423">
        <w:rPr>
          <w:rFonts w:ascii="Times New Roman" w:hAnsi="Times New Roman" w:cs="Times New Roman"/>
          <w:sz w:val="24"/>
          <w:szCs w:val="24"/>
        </w:rPr>
        <w:tab/>
      </w:r>
      <w:r w:rsidRPr="007C6423">
        <w:rPr>
          <w:rFonts w:ascii="Times New Roman" w:hAnsi="Times New Roman" w:cs="Times New Roman"/>
          <w:sz w:val="24"/>
          <w:szCs w:val="24"/>
        </w:rPr>
        <w:tab/>
        <w:t>110146620</w:t>
      </w:r>
      <w:r w:rsidRPr="007C6423">
        <w:rPr>
          <w:rFonts w:ascii="Times New Roman" w:hAnsi="Times New Roman" w:cs="Times New Roman"/>
          <w:sz w:val="24"/>
          <w:szCs w:val="24"/>
        </w:rPr>
        <w:tab/>
      </w:r>
      <w:r w:rsidRPr="007C6423">
        <w:rPr>
          <w:rFonts w:ascii="Times New Roman" w:hAnsi="Times New Roman" w:cs="Times New Roman"/>
          <w:sz w:val="24"/>
          <w:szCs w:val="24"/>
        </w:rPr>
        <w:tab/>
      </w:r>
      <w:r w:rsidRPr="007C6423">
        <w:rPr>
          <w:rFonts w:ascii="Times New Roman" w:hAnsi="Times New Roman" w:cs="Times New Roman"/>
          <w:sz w:val="24"/>
          <w:szCs w:val="24"/>
        </w:rPr>
        <w:tab/>
        <w:t xml:space="preserve">          110104578</w:t>
      </w:r>
      <w:r w:rsidRPr="007C6423">
        <w:rPr>
          <w:rFonts w:ascii="Times New Roman" w:hAnsi="Times New Roman" w:cs="Times New Roman"/>
          <w:sz w:val="24"/>
          <w:szCs w:val="24"/>
        </w:rPr>
        <w:tab/>
      </w:r>
      <w:r w:rsidRPr="007C6423">
        <w:rPr>
          <w:rFonts w:ascii="Times New Roman" w:hAnsi="Times New Roman" w:cs="Times New Roman"/>
          <w:sz w:val="24"/>
          <w:szCs w:val="24"/>
        </w:rPr>
        <w:tab/>
      </w:r>
      <w:r w:rsidRPr="007C6423">
        <w:rPr>
          <w:rFonts w:ascii="Times New Roman" w:hAnsi="Times New Roman" w:cs="Times New Roman"/>
          <w:sz w:val="24"/>
          <w:szCs w:val="24"/>
        </w:rPr>
        <w:br/>
        <w:t>mandal5@uwindsor.ca</w:t>
      </w:r>
      <w:r w:rsidRPr="007C6423">
        <w:rPr>
          <w:rFonts w:ascii="Times New Roman" w:hAnsi="Times New Roman" w:cs="Times New Roman"/>
          <w:sz w:val="24"/>
          <w:szCs w:val="24"/>
        </w:rPr>
        <w:tab/>
      </w:r>
      <w:r w:rsidRPr="007C6423">
        <w:rPr>
          <w:rFonts w:ascii="Times New Roman" w:hAnsi="Times New Roman" w:cs="Times New Roman"/>
          <w:sz w:val="24"/>
          <w:szCs w:val="24"/>
        </w:rPr>
        <w:tab/>
        <w:t>chaparaa@uwindsor.ca</w:t>
      </w:r>
      <w:r w:rsidRPr="007C6423">
        <w:rPr>
          <w:rFonts w:ascii="Times New Roman" w:hAnsi="Times New Roman" w:cs="Times New Roman"/>
          <w:sz w:val="24"/>
          <w:szCs w:val="24"/>
        </w:rPr>
        <w:tab/>
        <w:t xml:space="preserve">          adams63@uwindsor.ca</w:t>
      </w:r>
      <w:r w:rsidRPr="007C6423">
        <w:rPr>
          <w:rFonts w:ascii="Times New Roman" w:hAnsi="Times New Roman" w:cs="Times New Roman"/>
          <w:sz w:val="24"/>
          <w:szCs w:val="24"/>
        </w:rPr>
        <w:br/>
      </w:r>
      <w:r w:rsidRPr="007C6423">
        <w:rPr>
          <w:rFonts w:ascii="Times New Roman" w:hAnsi="Times New Roman" w:cs="Times New Roman"/>
          <w:sz w:val="24"/>
          <w:szCs w:val="24"/>
        </w:rPr>
        <w:br/>
      </w:r>
    </w:p>
    <w:p w14:paraId="7E8449BB" w14:textId="77777777" w:rsidR="003301C0" w:rsidRPr="007C6423" w:rsidRDefault="003301C0" w:rsidP="003301C0">
      <w:pPr>
        <w:rPr>
          <w:rFonts w:ascii="Times New Roman" w:hAnsi="Times New Roman" w:cs="Times New Roman"/>
          <w:sz w:val="24"/>
          <w:szCs w:val="24"/>
        </w:rPr>
      </w:pPr>
    </w:p>
    <w:p w14:paraId="0324778F" w14:textId="77777777" w:rsidR="003301C0" w:rsidRPr="007C6423" w:rsidRDefault="003301C0" w:rsidP="003301C0">
      <w:pPr>
        <w:rPr>
          <w:rFonts w:ascii="Times New Roman" w:hAnsi="Times New Roman" w:cs="Times New Roman"/>
          <w:sz w:val="24"/>
          <w:szCs w:val="24"/>
        </w:rPr>
      </w:pPr>
    </w:p>
    <w:p w14:paraId="30DA9652" w14:textId="77777777" w:rsidR="003301C0" w:rsidRPr="007C6423" w:rsidRDefault="003301C0" w:rsidP="003301C0">
      <w:pPr>
        <w:rPr>
          <w:rFonts w:ascii="Times New Roman" w:hAnsi="Times New Roman" w:cs="Times New Roman"/>
          <w:sz w:val="24"/>
          <w:szCs w:val="24"/>
        </w:rPr>
      </w:pPr>
    </w:p>
    <w:p w14:paraId="531BC313" w14:textId="77777777" w:rsidR="003301C0" w:rsidRPr="007C6423" w:rsidRDefault="003301C0" w:rsidP="003301C0">
      <w:pPr>
        <w:rPr>
          <w:rFonts w:ascii="Times New Roman" w:hAnsi="Times New Roman" w:cs="Times New Roman"/>
          <w:sz w:val="24"/>
          <w:szCs w:val="24"/>
        </w:rPr>
      </w:pPr>
    </w:p>
    <w:p w14:paraId="0419EC86" w14:textId="77777777" w:rsidR="003301C0" w:rsidRPr="007C6423" w:rsidRDefault="003301C0" w:rsidP="003301C0">
      <w:pPr>
        <w:rPr>
          <w:rFonts w:ascii="Times New Roman" w:hAnsi="Times New Roman" w:cs="Times New Roman"/>
          <w:sz w:val="24"/>
          <w:szCs w:val="24"/>
        </w:rPr>
      </w:pPr>
    </w:p>
    <w:p w14:paraId="41EE9377" w14:textId="77777777" w:rsidR="003301C0" w:rsidRPr="007C6423" w:rsidRDefault="003301C0" w:rsidP="003301C0">
      <w:pPr>
        <w:rPr>
          <w:rFonts w:ascii="Times New Roman" w:hAnsi="Times New Roman" w:cs="Times New Roman"/>
          <w:sz w:val="24"/>
          <w:szCs w:val="24"/>
        </w:rPr>
      </w:pPr>
    </w:p>
    <w:p w14:paraId="04464820" w14:textId="0E4722B8" w:rsidR="003301C0" w:rsidRPr="007C6423" w:rsidRDefault="003301C0" w:rsidP="003301C0">
      <w:pPr>
        <w:spacing w:before="480" w:after="60"/>
        <w:jc w:val="center"/>
        <w:rPr>
          <w:rFonts w:ascii="Times New Roman" w:hAnsi="Times New Roman" w:cs="Times New Roman"/>
          <w:sz w:val="24"/>
          <w:szCs w:val="24"/>
        </w:rPr>
      </w:pPr>
      <w:r w:rsidRPr="007C6423">
        <w:rPr>
          <w:rFonts w:ascii="Times New Roman" w:hAnsi="Times New Roman" w:cs="Times New Roman"/>
          <w:sz w:val="24"/>
          <w:szCs w:val="24"/>
        </w:rPr>
        <w:br/>
      </w:r>
      <w:r w:rsidRPr="007C6423">
        <w:rPr>
          <w:rFonts w:ascii="Times New Roman" w:hAnsi="Times New Roman" w:cs="Times New Roman"/>
          <w:i/>
          <w:iCs/>
          <w:color w:val="888888"/>
          <w:sz w:val="24"/>
          <w:szCs w:val="24"/>
        </w:rPr>
        <w:t>Includes:</w:t>
      </w:r>
    </w:p>
    <w:p w14:paraId="1749B258" w14:textId="77777777" w:rsidR="003301C0" w:rsidRPr="007C6423" w:rsidRDefault="003301C0" w:rsidP="003301C0">
      <w:pPr>
        <w:spacing w:before="40" w:after="40"/>
        <w:jc w:val="center"/>
        <w:rPr>
          <w:rFonts w:ascii="Times New Roman" w:hAnsi="Times New Roman" w:cs="Times New Roman"/>
          <w:sz w:val="24"/>
          <w:szCs w:val="24"/>
        </w:rPr>
      </w:pPr>
      <w:r w:rsidRPr="007C6423">
        <w:rPr>
          <w:rFonts w:ascii="Times New Roman" w:hAnsi="Times New Roman" w:cs="Times New Roman"/>
          <w:color w:val="888888"/>
          <w:sz w:val="24"/>
          <w:szCs w:val="24"/>
        </w:rPr>
        <w:t>Addendum A: Design Document</w:t>
      </w:r>
    </w:p>
    <w:p w14:paraId="014B8EB9" w14:textId="77777777" w:rsidR="003301C0" w:rsidRPr="007C6423" w:rsidRDefault="003301C0" w:rsidP="003301C0">
      <w:pPr>
        <w:spacing w:before="40" w:after="40"/>
        <w:jc w:val="center"/>
        <w:rPr>
          <w:rFonts w:ascii="Times New Roman" w:hAnsi="Times New Roman" w:cs="Times New Roman"/>
          <w:sz w:val="24"/>
          <w:szCs w:val="24"/>
        </w:rPr>
      </w:pPr>
      <w:r w:rsidRPr="007C6423">
        <w:rPr>
          <w:rFonts w:ascii="Times New Roman" w:hAnsi="Times New Roman" w:cs="Times New Roman"/>
          <w:color w:val="888888"/>
          <w:sz w:val="24"/>
          <w:szCs w:val="24"/>
        </w:rPr>
        <w:t>Addendum B: Deployment Document</w:t>
      </w:r>
    </w:p>
    <w:p w14:paraId="4AAEFDE3" w14:textId="77777777" w:rsidR="003301C0" w:rsidRPr="007C6423" w:rsidRDefault="003301C0" w:rsidP="003301C0">
      <w:pPr>
        <w:spacing w:before="40" w:after="40"/>
        <w:jc w:val="center"/>
        <w:rPr>
          <w:rFonts w:ascii="Times New Roman" w:hAnsi="Times New Roman" w:cs="Times New Roman"/>
          <w:sz w:val="24"/>
          <w:szCs w:val="24"/>
        </w:rPr>
      </w:pPr>
      <w:r w:rsidRPr="007C6423">
        <w:rPr>
          <w:rFonts w:ascii="Times New Roman" w:hAnsi="Times New Roman" w:cs="Times New Roman"/>
          <w:color w:val="888888"/>
          <w:sz w:val="24"/>
          <w:szCs w:val="24"/>
        </w:rPr>
        <w:t>Addendum C: User Requirements &amp; Analysis</w:t>
      </w:r>
    </w:p>
    <w:p w14:paraId="7C47DF6D" w14:textId="35098B4C" w:rsidR="003301C0" w:rsidRPr="007C6423" w:rsidRDefault="003301C0" w:rsidP="003301C0">
      <w:pPr>
        <w:spacing w:before="40" w:after="40"/>
        <w:jc w:val="center"/>
        <w:rPr>
          <w:rFonts w:ascii="Times New Roman" w:hAnsi="Times New Roman" w:cs="Times New Roman"/>
          <w:sz w:val="24"/>
          <w:szCs w:val="24"/>
        </w:rPr>
        <w:sectPr w:rsidR="003301C0" w:rsidRPr="007C6423" w:rsidSect="003301C0">
          <w:pgSz w:w="12240" w:h="15840"/>
          <w:pgMar w:top="1440" w:right="1440" w:bottom="1440" w:left="1440" w:header="709" w:footer="709" w:gutter="0"/>
          <w:cols w:space="720"/>
          <w:docGrid w:linePitch="360"/>
        </w:sectPr>
      </w:pPr>
      <w:r w:rsidRPr="007C6423">
        <w:rPr>
          <w:rFonts w:ascii="Times New Roman" w:hAnsi="Times New Roman" w:cs="Times New Roman"/>
          <w:color w:val="888888"/>
          <w:sz w:val="24"/>
          <w:szCs w:val="24"/>
        </w:rPr>
        <w:t>Addendum D: User Guide</w:t>
      </w:r>
    </w:p>
    <w:p w14:paraId="17032809"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Abstract</w:t>
      </w:r>
    </w:p>
    <w:p w14:paraId="6F2398A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project presents the design and development of a Gold Price Analytics Dashboard using Microsoft Power BI to analyze ten years of historical gold price data spanning from 2016 to 2026. The primary dataset was sourced from Kaggle and cross-validated with data from Yahoo Finance to ensure consistency and reliability. The dataset includes key financial indicators such as Date, Open, High, Low, Close, Adjusted Close, and Volume, enabling comprehensive time-series analysis.</w:t>
      </w:r>
    </w:p>
    <w:p w14:paraId="43A3AE55" w14:textId="77777777" w:rsidR="003301C0" w:rsidRPr="007C6423" w:rsidRDefault="003301C0" w:rsidP="003301C0">
      <w:pPr>
        <w:spacing w:before="60" w:after="60"/>
        <w:jc w:val="both"/>
        <w:rPr>
          <w:rFonts w:ascii="Times New Roman" w:hAnsi="Times New Roman" w:cs="Times New Roman"/>
          <w:sz w:val="24"/>
          <w:szCs w:val="24"/>
        </w:rPr>
      </w:pPr>
    </w:p>
    <w:p w14:paraId="7963DC2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dashboard incorporates essential analytical measures, including the 30-Day Moving Average, Year-over-Year (YoY) Percentage Price Change, and Daily Volatility. These measures allow for the identification of long-term trends, comparison of annual performance, and evaluation of short-term price fluctuations. Interactive visual elements such as line charts, KPI indicators, and tabular views provide users with an intuitive and dynamic interface for exploring data.</w:t>
      </w:r>
    </w:p>
    <w:p w14:paraId="0701A5E1" w14:textId="77777777" w:rsidR="003301C0" w:rsidRPr="007C6423" w:rsidRDefault="003301C0" w:rsidP="003301C0">
      <w:pPr>
        <w:spacing w:before="60" w:after="60"/>
        <w:jc w:val="both"/>
        <w:rPr>
          <w:rFonts w:ascii="Times New Roman" w:hAnsi="Times New Roman" w:cs="Times New Roman"/>
          <w:sz w:val="24"/>
          <w:szCs w:val="24"/>
        </w:rPr>
      </w:pPr>
    </w:p>
    <w:p w14:paraId="654556D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analysis reveals significant patterns in gold price behavior, including a sharp increase during the global uncertainty of the COVID-19 pandemic in 2020, as well as gradual upward trends associated with inflationary periods. The moving average metric effectively reduces short-term volatility, highlighting the underlying direction of the market.</w:t>
      </w:r>
    </w:p>
    <w:p w14:paraId="302084F7" w14:textId="77777777" w:rsidR="003301C0" w:rsidRPr="007C6423" w:rsidRDefault="003301C0" w:rsidP="003301C0">
      <w:pPr>
        <w:spacing w:before="60" w:after="60"/>
        <w:jc w:val="both"/>
        <w:rPr>
          <w:rFonts w:ascii="Times New Roman" w:hAnsi="Times New Roman" w:cs="Times New Roman"/>
          <w:sz w:val="24"/>
          <w:szCs w:val="24"/>
        </w:rPr>
      </w:pPr>
    </w:p>
    <w:p w14:paraId="6A99C6E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project demonstrates the effectiveness of visual analytics in transforming complex financial datasets into actionable insights. Future enhancements may include the integration of predictive models and real-time data sources to further strengthen analytical capabilities and support forecasting.</w:t>
      </w:r>
    </w:p>
    <w:p w14:paraId="28717214" w14:textId="77777777" w:rsidR="003301C0" w:rsidRPr="007C6423" w:rsidRDefault="003301C0" w:rsidP="003301C0">
      <w:pPr>
        <w:spacing w:before="240" w:after="240"/>
        <w:jc w:val="both"/>
        <w:rPr>
          <w:rFonts w:ascii="Times New Roman" w:hAnsi="Times New Roman" w:cs="Times New Roman"/>
        </w:rPr>
      </w:pPr>
    </w:p>
    <w:p w14:paraId="23322609" w14:textId="77777777" w:rsidR="003301C0" w:rsidRPr="007C6423" w:rsidRDefault="003301C0" w:rsidP="003301C0">
      <w:pPr>
        <w:pStyle w:val="Heading1"/>
        <w:spacing w:before="320" w:after="160"/>
        <w:jc w:val="both"/>
        <w:rPr>
          <w:rFonts w:ascii="Times New Roman" w:hAnsi="Times New Roman" w:cs="Times New Roman"/>
          <w:b/>
          <w:bCs/>
          <w:color w:val="1F3864"/>
          <w:sz w:val="28"/>
          <w:szCs w:val="28"/>
        </w:rPr>
      </w:pPr>
      <w:r w:rsidRPr="007C6423">
        <w:rPr>
          <w:rFonts w:ascii="Times New Roman" w:hAnsi="Times New Roman" w:cs="Times New Roman"/>
          <w:b/>
          <w:bCs/>
          <w:color w:val="1F3864"/>
          <w:sz w:val="28"/>
          <w:szCs w:val="28"/>
        </w:rPr>
        <w:t>1. Executive Summary</w:t>
      </w:r>
    </w:p>
    <w:p w14:paraId="55E9E6A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project focuses on the development of a Gold Price Analytics Dashboard using Microsoft Power BI to analyze historical gold price trends over a ten-year period from 2016 to 2026. The dashboard is designed to support investors, analysts, and researchers by providing an intuitive platform for data exploration and analysis.</w:t>
      </w:r>
    </w:p>
    <w:p w14:paraId="0942AE80" w14:textId="77777777" w:rsidR="003301C0" w:rsidRPr="007C6423" w:rsidRDefault="003301C0" w:rsidP="003301C0">
      <w:pPr>
        <w:spacing w:before="60" w:after="60"/>
        <w:jc w:val="both"/>
        <w:rPr>
          <w:rFonts w:ascii="Times New Roman" w:hAnsi="Times New Roman" w:cs="Times New Roman"/>
          <w:sz w:val="24"/>
          <w:szCs w:val="24"/>
        </w:rPr>
      </w:pPr>
    </w:p>
    <w:p w14:paraId="5E2D147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system uses data sourced from Kaggle, with validation performed using Yahoo Finance to ensure reliability. The dashboard allows users to filter data by year, explore trends through interactive charts, and evaluate performance using key metrics such as the 30-Day Moving Average and Year-over-Year percentage change.</w:t>
      </w:r>
    </w:p>
    <w:p w14:paraId="02768993" w14:textId="77777777" w:rsidR="003301C0" w:rsidRPr="007C6423" w:rsidRDefault="003301C0" w:rsidP="003301C0">
      <w:pPr>
        <w:spacing w:before="60" w:after="60"/>
        <w:jc w:val="both"/>
        <w:rPr>
          <w:rFonts w:ascii="Times New Roman" w:hAnsi="Times New Roman" w:cs="Times New Roman"/>
          <w:sz w:val="24"/>
          <w:szCs w:val="24"/>
        </w:rPr>
      </w:pPr>
    </w:p>
    <w:p w14:paraId="1888814E"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analysis reveals key market events, including the significant rise in gold prices during the COVID-19 pandemic and fluctuations influenced by inflation and economic conditions. These findings demonstrate gold’s importance as a safe-haven asset.</w:t>
      </w:r>
    </w:p>
    <w:p w14:paraId="47D549F5" w14:textId="77777777" w:rsidR="003301C0" w:rsidRPr="007C6423" w:rsidRDefault="003301C0" w:rsidP="003301C0">
      <w:pPr>
        <w:spacing w:before="60" w:after="60"/>
        <w:jc w:val="both"/>
        <w:rPr>
          <w:rFonts w:ascii="Times New Roman" w:hAnsi="Times New Roman" w:cs="Times New Roman"/>
          <w:sz w:val="24"/>
          <w:szCs w:val="24"/>
        </w:rPr>
      </w:pPr>
    </w:p>
    <w:p w14:paraId="5C830475" w14:textId="77777777" w:rsidR="003301C0" w:rsidRPr="007C6423" w:rsidRDefault="003301C0" w:rsidP="003301C0">
      <w:pPr>
        <w:spacing w:before="60" w:after="60"/>
        <w:jc w:val="both"/>
        <w:rPr>
          <w:rFonts w:ascii="Times New Roman" w:hAnsi="Times New Roman" w:cs="Times New Roman"/>
        </w:rPr>
      </w:pPr>
      <w:r w:rsidRPr="007C6423">
        <w:rPr>
          <w:rFonts w:ascii="Times New Roman" w:hAnsi="Times New Roman" w:cs="Times New Roman"/>
          <w:sz w:val="24"/>
          <w:szCs w:val="24"/>
        </w:rPr>
        <w:lastRenderedPageBreak/>
        <w:t>Technically, the dashboard is built using a Direct-Logic data model in Power BI and utilizes DAX measures for calculations. The design emphasizes clarity, interactivity, and usability.</w:t>
      </w:r>
    </w:p>
    <w:p w14:paraId="294EEF25" w14:textId="77777777" w:rsidR="003301C0" w:rsidRPr="007C6423" w:rsidRDefault="003301C0" w:rsidP="003301C0">
      <w:pPr>
        <w:spacing w:before="60" w:after="60"/>
        <w:jc w:val="both"/>
        <w:rPr>
          <w:rFonts w:ascii="Times New Roman" w:hAnsi="Times New Roman" w:cs="Times New Roman"/>
        </w:rPr>
      </w:pPr>
    </w:p>
    <w:p w14:paraId="543934D5"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Overall, the dashboard provides a powerful tool for financial analysis and supports informed decision-making through visual insights.</w:t>
      </w:r>
    </w:p>
    <w:p w14:paraId="31ACB9C7" w14:textId="77777777" w:rsidR="003301C0" w:rsidRPr="007C6423" w:rsidRDefault="003301C0" w:rsidP="003301C0">
      <w:pPr>
        <w:spacing w:before="60" w:after="60"/>
        <w:jc w:val="both"/>
        <w:rPr>
          <w:rFonts w:ascii="Times New Roman" w:hAnsi="Times New Roman" w:cs="Times New Roman"/>
        </w:rPr>
      </w:pPr>
    </w:p>
    <w:p w14:paraId="4A5FDE6F"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t>2. Project Scope and Problem Description</w:t>
      </w:r>
    </w:p>
    <w:p w14:paraId="5AE52BAE"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Gold is a globally traded commodity and a critical component of financial markets. Its price is influenced by a wide range of factors, including inflation, interest rates, currency exchange rates, geopolitical instability, and investor sentiment. These factors create complex price movements that require detailed analysis over an extended period.</w:t>
      </w:r>
    </w:p>
    <w:p w14:paraId="24C98682"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6239E9F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Traditional tools such as spreadsheets are not well-equipped to handle large-scale financial datasets with high frequency, such as daily gold price data over ten years. While spreadsheets can store data, they lack advanced analytical capabilities, interactivity, and visualization features needed to uncover meaningful insights.</w:t>
      </w:r>
    </w:p>
    <w:p w14:paraId="62D1802C"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1A2EF0D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project addresses these limitations by using Microsoft Power BI as a visual analytics platform. Power BI provides powerful tools for data transformation, modeling, and visualization. Features such as slicers, drill-down capabilities, and dynamic calculations allow users to interact with the data in real time.</w:t>
      </w:r>
    </w:p>
    <w:p w14:paraId="15DA9F02"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7F12D1F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scope of this project includes analyzing gold price data from 2016 to 2026, identifying key trends and events, and presenting the results through an interactive dashboard. The project also aims to demonstrate how visual analytics can enhance financial decision-making.</w:t>
      </w:r>
    </w:p>
    <w:p w14:paraId="100DBA17" w14:textId="77777777" w:rsidR="003301C0" w:rsidRPr="007C6423" w:rsidRDefault="003301C0" w:rsidP="003301C0">
      <w:pPr>
        <w:jc w:val="both"/>
        <w:rPr>
          <w:rFonts w:ascii="Times New Roman" w:hAnsi="Times New Roman" w:cs="Times New Roman"/>
        </w:rPr>
      </w:pPr>
    </w:p>
    <w:p w14:paraId="79A8B13C" w14:textId="77777777" w:rsidR="003301C0" w:rsidRPr="007C6423" w:rsidRDefault="003301C0" w:rsidP="003301C0">
      <w:pPr>
        <w:jc w:val="both"/>
        <w:rPr>
          <w:rFonts w:ascii="Times New Roman" w:hAnsi="Times New Roman" w:cs="Times New Roman"/>
        </w:rPr>
      </w:pPr>
    </w:p>
    <w:p w14:paraId="57A4436E" w14:textId="77777777" w:rsidR="003301C0" w:rsidRPr="007C6423" w:rsidRDefault="003301C0" w:rsidP="003301C0">
      <w:pPr>
        <w:jc w:val="both"/>
        <w:rPr>
          <w:rFonts w:ascii="Times New Roman" w:hAnsi="Times New Roman" w:cs="Times New Roman"/>
          <w:b/>
          <w:bCs/>
          <w:color w:val="1F3864"/>
          <w:sz w:val="28"/>
          <w:szCs w:val="28"/>
        </w:rPr>
      </w:pPr>
      <w:r w:rsidRPr="007C6423">
        <w:rPr>
          <w:rFonts w:ascii="Times New Roman" w:hAnsi="Times New Roman" w:cs="Times New Roman"/>
          <w:b/>
          <w:bCs/>
          <w:color w:val="1F3864"/>
          <w:sz w:val="28"/>
          <w:szCs w:val="28"/>
        </w:rPr>
        <w:t>3. Team Involvement</w:t>
      </w:r>
    </w:p>
    <w:p w14:paraId="53BBBDBC" w14:textId="77777777" w:rsidR="003301C0" w:rsidRPr="007C6423" w:rsidRDefault="003301C0" w:rsidP="003301C0">
      <w:pPr>
        <w:pStyle w:val="Heading2"/>
        <w:spacing w:before="240" w:after="120"/>
        <w:rPr>
          <w:rFonts w:ascii="Times New Roman" w:hAnsi="Times New Roman" w:cs="Times New Roman"/>
          <w:sz w:val="24"/>
          <w:szCs w:val="24"/>
        </w:rPr>
      </w:pPr>
      <w:r w:rsidRPr="007C6423">
        <w:rPr>
          <w:rFonts w:ascii="Times New Roman" w:hAnsi="Times New Roman" w:cs="Times New Roman"/>
          <w:b/>
          <w:bCs/>
          <w:color w:val="B8900A"/>
          <w:sz w:val="24"/>
          <w:szCs w:val="24"/>
        </w:rPr>
        <w:t>3.1 Hive Workspace Structure</w:t>
      </w:r>
    </w:p>
    <w:p w14:paraId="646AA8E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team used a shared Hive workspace to keep all project files, notes, and progress updates in one place. The workspace was divided into three main areas. The first was a Documentation board, which held draft versions of the report, design document, and deployment document. The second was a Data board, where links to the Kaggle dataset and the Yahoo Finance validation set were stored along with any notes about the data cleaning steps. The third was a Task Tracker board, which listed all deliverables broken down by owner so that both team members could see what still needed to be done at any given time.</w:t>
      </w:r>
    </w:p>
    <w:p w14:paraId="6ADF0E1E" w14:textId="77777777" w:rsidR="003301C0" w:rsidRPr="007C6423" w:rsidRDefault="003301C0" w:rsidP="003301C0">
      <w:pPr>
        <w:spacing w:before="60" w:after="60"/>
        <w:jc w:val="both"/>
        <w:rPr>
          <w:rFonts w:ascii="Times New Roman" w:hAnsi="Times New Roman" w:cs="Times New Roman"/>
          <w:sz w:val="24"/>
          <w:szCs w:val="24"/>
        </w:rPr>
      </w:pPr>
    </w:p>
    <w:p w14:paraId="0A2D916F"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Each team member had edit access to the shared boards. Comments were used inside Hive cards to log decisions, such as the choice to use a Dark/Gold theme, so that the reasoning was recorded and visible to both people throughout the project.</w:t>
      </w:r>
    </w:p>
    <w:p w14:paraId="1130FE75" w14:textId="77777777" w:rsidR="003301C0" w:rsidRPr="007C6423" w:rsidRDefault="003301C0" w:rsidP="003301C0">
      <w:pPr>
        <w:spacing w:before="60" w:after="60"/>
        <w:rPr>
          <w:rFonts w:ascii="Times New Roman" w:hAnsi="Times New Roman" w:cs="Times New Roman"/>
        </w:rPr>
      </w:pPr>
    </w:p>
    <w:p w14:paraId="1F9E8BA6" w14:textId="77777777" w:rsidR="003301C0" w:rsidRPr="007C6423" w:rsidRDefault="003301C0" w:rsidP="003301C0">
      <w:pPr>
        <w:pStyle w:val="Heading2"/>
        <w:spacing w:before="240" w:after="120"/>
        <w:rPr>
          <w:rFonts w:ascii="Times New Roman" w:hAnsi="Times New Roman" w:cs="Times New Roman"/>
          <w:sz w:val="24"/>
          <w:szCs w:val="24"/>
        </w:rPr>
      </w:pPr>
      <w:r w:rsidRPr="007C6423">
        <w:rPr>
          <w:rFonts w:ascii="Times New Roman" w:hAnsi="Times New Roman" w:cs="Times New Roman"/>
          <w:b/>
          <w:bCs/>
          <w:color w:val="B8900A"/>
          <w:sz w:val="24"/>
          <w:szCs w:val="24"/>
        </w:rPr>
        <w:lastRenderedPageBreak/>
        <w:t>3.2 GitHub Branching Strategy</w:t>
      </w:r>
    </w:p>
    <w:p w14:paraId="20601B2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project followed a simple two-branch strategy in GitHub. The main branch was treated as the stable, reviewed version of the work. No one pushed directly to main. Instead, all active development took place on a branch called develop. When a piece of work was finished and reviewed, it was merged into main through a pull request.</w:t>
      </w:r>
    </w:p>
    <w:p w14:paraId="21FF45D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For the Power BI file specifically, a naming convention was used to track versions. Each time a significant change was made to the dashboard, the .</w:t>
      </w:r>
      <w:proofErr w:type="spellStart"/>
      <w:r w:rsidRPr="007C6423">
        <w:rPr>
          <w:rFonts w:ascii="Times New Roman" w:hAnsi="Times New Roman" w:cs="Times New Roman"/>
          <w:sz w:val="24"/>
          <w:szCs w:val="24"/>
        </w:rPr>
        <w:t>pbix</w:t>
      </w:r>
      <w:proofErr w:type="spellEnd"/>
      <w:r w:rsidRPr="007C6423">
        <w:rPr>
          <w:rFonts w:ascii="Times New Roman" w:hAnsi="Times New Roman" w:cs="Times New Roman"/>
          <w:sz w:val="24"/>
          <w:szCs w:val="24"/>
        </w:rPr>
        <w:t xml:space="preserve"> file was renamed with a version number before being committed. This kept a clear history of changes without relying on Git's binary diff capabilities, which do not work well for Power BI files.</w:t>
      </w:r>
    </w:p>
    <w:p w14:paraId="592747A8" w14:textId="77777777" w:rsidR="003301C0" w:rsidRPr="007C6423" w:rsidRDefault="003301C0" w:rsidP="003301C0">
      <w:pPr>
        <w:spacing w:before="60" w:after="60"/>
        <w:jc w:val="both"/>
        <w:rPr>
          <w:rFonts w:ascii="Times New Roman" w:hAnsi="Times New Roman" w:cs="Times New Roman"/>
          <w:sz w:val="24"/>
          <w:szCs w:val="24"/>
        </w:rPr>
      </w:pPr>
    </w:p>
    <w:p w14:paraId="52F4F03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repository also included a /docs folder to hold all externally published project documents. It contains three subfolders: /Project Proposal for the proposal versions, /Project Status Report for the interim HTML status report, and /Project Final Report for the submitted final report with addendums. This folder was kept separate from the main project files to make the structure easier to navigate.</w:t>
      </w:r>
    </w:p>
    <w:p w14:paraId="19B0554F" w14:textId="77777777" w:rsidR="003301C0" w:rsidRPr="007C6423" w:rsidRDefault="003301C0" w:rsidP="003301C0">
      <w:pPr>
        <w:spacing w:before="60" w:after="60"/>
        <w:rPr>
          <w:rFonts w:ascii="Times New Roman" w:hAnsi="Times New Roman" w:cs="Times New Roman"/>
        </w:rPr>
      </w:pPr>
    </w:p>
    <w:p w14:paraId="1CC57DAF" w14:textId="397675C2" w:rsidR="003301C0" w:rsidRPr="007C6423" w:rsidRDefault="003301C0" w:rsidP="003301C0">
      <w:pPr>
        <w:pStyle w:val="Heading2"/>
        <w:spacing w:before="240" w:after="120"/>
        <w:rPr>
          <w:rFonts w:ascii="Times New Roman" w:hAnsi="Times New Roman" w:cs="Times New Roman"/>
          <w:sz w:val="24"/>
          <w:szCs w:val="24"/>
        </w:rPr>
      </w:pPr>
      <w:r w:rsidRPr="007C6423">
        <w:rPr>
          <w:rFonts w:ascii="Times New Roman" w:hAnsi="Times New Roman" w:cs="Times New Roman"/>
          <w:b/>
          <w:bCs/>
          <w:color w:val="B8900A"/>
          <w:sz w:val="24"/>
          <w:szCs w:val="24"/>
        </w:rPr>
        <w:t>3.3 Role of Aakanksha - Project Coordinator</w:t>
      </w:r>
    </w:p>
    <w:p w14:paraId="5F736F13" w14:textId="2036A226"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Aakanksha’s role on this project was Project Coordinator. This involved setting up the initial Hive workspace, creating all the Hive tickets for each deliverable, and making sure both team members had access before work began. She created the GitHub repository, defined the branching rules, and wrote the initial README file explaining how the repo was organized.</w:t>
      </w:r>
    </w:p>
    <w:p w14:paraId="6A791733" w14:textId="77777777" w:rsidR="003301C0" w:rsidRPr="007C6423" w:rsidRDefault="003301C0" w:rsidP="003301C0">
      <w:pPr>
        <w:spacing w:before="60" w:after="60"/>
        <w:jc w:val="both"/>
        <w:rPr>
          <w:rFonts w:ascii="Times New Roman" w:hAnsi="Times New Roman" w:cs="Times New Roman"/>
          <w:sz w:val="24"/>
          <w:szCs w:val="24"/>
        </w:rPr>
      </w:pPr>
    </w:p>
    <w:p w14:paraId="427BDD90" w14:textId="3A024883"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Throughout the project she kept the Task Tracker board up to date, moved cards as work was completed, and flagged any items that were falling behind. On the data side she was responsible for cleaning the raw Kaggle dataset and producing the cleaned CSV that the dashboard is built on. She built all the DAX measures in the Key Metrics table, including the 30-Day Moving Average, YoY % Price Change, and Daily Volatility. She also handled the GitHub Pages deployment, including writing the HTML for the project status report pages and testing that the links worked correctly. For the written deliverables Aakanksha completed 50% of the main report, wrote Addendum A (Design Document) and Addendum B (Deployment Document), and put together 50% of the final presentation.</w:t>
      </w:r>
    </w:p>
    <w:p w14:paraId="24EFB594" w14:textId="77777777" w:rsidR="003301C0" w:rsidRPr="007C6423" w:rsidRDefault="003301C0" w:rsidP="003301C0">
      <w:pPr>
        <w:spacing w:before="60" w:after="60"/>
        <w:jc w:val="both"/>
        <w:rPr>
          <w:rFonts w:ascii="Times New Roman" w:hAnsi="Times New Roman" w:cs="Times New Roman"/>
        </w:rPr>
      </w:pPr>
    </w:p>
    <w:p w14:paraId="1B15C78F" w14:textId="77777777" w:rsidR="003301C0" w:rsidRPr="007C6423" w:rsidRDefault="003301C0" w:rsidP="003301C0">
      <w:pPr>
        <w:pStyle w:val="Heading2"/>
        <w:spacing w:before="240" w:after="120"/>
        <w:rPr>
          <w:rFonts w:ascii="Times New Roman" w:hAnsi="Times New Roman" w:cs="Times New Roman"/>
          <w:sz w:val="24"/>
          <w:szCs w:val="24"/>
        </w:rPr>
      </w:pPr>
      <w:r w:rsidRPr="007C6423">
        <w:rPr>
          <w:rFonts w:ascii="Times New Roman" w:hAnsi="Times New Roman" w:cs="Times New Roman"/>
          <w:b/>
          <w:bCs/>
          <w:color w:val="B8900A"/>
          <w:sz w:val="24"/>
          <w:szCs w:val="24"/>
        </w:rPr>
        <w:t>3.4 Role of Brett — Dashboard Developer</w:t>
      </w:r>
    </w:p>
    <w:p w14:paraId="2D9575C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Brett was solely responsible for building the visual layer of the dashboard in Power BI. Using the Key Metrics measures table that was set up as part of the data model, Brett designed and configured </w:t>
      </w:r>
      <w:proofErr w:type="gramStart"/>
      <w:r w:rsidRPr="007C6423">
        <w:rPr>
          <w:rFonts w:ascii="Times New Roman" w:hAnsi="Times New Roman" w:cs="Times New Roman"/>
          <w:sz w:val="24"/>
          <w:szCs w:val="24"/>
        </w:rPr>
        <w:t>all of</w:t>
      </w:r>
      <w:proofErr w:type="gramEnd"/>
      <w:r w:rsidRPr="007C6423">
        <w:rPr>
          <w:rFonts w:ascii="Times New Roman" w:hAnsi="Times New Roman" w:cs="Times New Roman"/>
          <w:sz w:val="24"/>
          <w:szCs w:val="24"/>
        </w:rPr>
        <w:t xml:space="preserve"> the charts and visual components in the report. This included the main time-series line chart showing the 30-Day Moving Average alongside the raw closing price, the KPI card visuals, the YoY Price Change table, and the OHLCV matrix. Brett handled all formatting decisions within the visuals, including axis labels, legend placement, color assignments, and tooltip configuration, ensuring the final layout was consistent with the Dark/Gold theme applied across the report.</w:t>
      </w:r>
    </w:p>
    <w:p w14:paraId="59D4B31A" w14:textId="77777777" w:rsidR="003301C0" w:rsidRPr="007C6423" w:rsidRDefault="003301C0" w:rsidP="003301C0">
      <w:pPr>
        <w:spacing w:before="60" w:after="60"/>
        <w:jc w:val="both"/>
        <w:rPr>
          <w:rFonts w:ascii="Times New Roman" w:hAnsi="Times New Roman" w:cs="Times New Roman"/>
          <w:sz w:val="24"/>
          <w:szCs w:val="24"/>
        </w:rPr>
      </w:pPr>
    </w:p>
    <w:p w14:paraId="4FE7DBC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lastRenderedPageBreak/>
        <w:t>Because the measures were already defined and tested before Brett began building the visuals, the two workstreams could run in parallel without blocking each other. Brett committed updated versions of the .</w:t>
      </w:r>
      <w:proofErr w:type="spellStart"/>
      <w:r w:rsidRPr="007C6423">
        <w:rPr>
          <w:rFonts w:ascii="Times New Roman" w:hAnsi="Times New Roman" w:cs="Times New Roman"/>
          <w:sz w:val="24"/>
          <w:szCs w:val="24"/>
        </w:rPr>
        <w:t>pbix</w:t>
      </w:r>
      <w:proofErr w:type="spellEnd"/>
      <w:r w:rsidRPr="007C6423">
        <w:rPr>
          <w:rFonts w:ascii="Times New Roman" w:hAnsi="Times New Roman" w:cs="Times New Roman"/>
          <w:sz w:val="24"/>
          <w:szCs w:val="24"/>
        </w:rPr>
        <w:t xml:space="preserve"> file to the /dashboard folder in the GitHub repository at each stage of the visual development, following the version naming convention established at the start of the project.</w:t>
      </w:r>
    </w:p>
    <w:p w14:paraId="0CE7AB14" w14:textId="77777777" w:rsidR="003301C0" w:rsidRPr="007C6423" w:rsidRDefault="003301C0" w:rsidP="003301C0">
      <w:pPr>
        <w:spacing w:before="60" w:after="60"/>
        <w:jc w:val="both"/>
        <w:rPr>
          <w:rFonts w:ascii="Times New Roman" w:hAnsi="Times New Roman" w:cs="Times New Roman"/>
          <w:sz w:val="24"/>
          <w:szCs w:val="24"/>
        </w:rPr>
      </w:pPr>
    </w:p>
    <w:p w14:paraId="2E9AD7D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Brett’s main deliverable across the project lifecycle was the progression of the dashboard from version 1.1 through to version 1.2, taking it from a model with measures to a fully formatted, presentation-ready report page.</w:t>
      </w:r>
    </w:p>
    <w:p w14:paraId="05560D39" w14:textId="77777777" w:rsidR="003301C0" w:rsidRPr="007C6423" w:rsidRDefault="003301C0" w:rsidP="003301C0">
      <w:pPr>
        <w:spacing w:before="60" w:after="60"/>
        <w:jc w:val="both"/>
        <w:rPr>
          <w:rFonts w:ascii="Times New Roman" w:hAnsi="Times New Roman" w:cs="Times New Roman"/>
        </w:rPr>
      </w:pPr>
    </w:p>
    <w:p w14:paraId="51460232" w14:textId="77777777" w:rsidR="003301C0" w:rsidRPr="007C6423" w:rsidRDefault="003301C0" w:rsidP="003301C0">
      <w:pPr>
        <w:pStyle w:val="Heading2"/>
        <w:spacing w:before="240" w:after="120"/>
        <w:rPr>
          <w:rFonts w:ascii="Times New Roman" w:hAnsi="Times New Roman" w:cs="Times New Roman"/>
          <w:sz w:val="24"/>
          <w:szCs w:val="24"/>
        </w:rPr>
      </w:pPr>
      <w:r w:rsidRPr="007C6423">
        <w:rPr>
          <w:rFonts w:ascii="Times New Roman" w:hAnsi="Times New Roman" w:cs="Times New Roman"/>
          <w:b/>
          <w:bCs/>
          <w:color w:val="B8900A"/>
          <w:sz w:val="24"/>
          <w:szCs w:val="24"/>
        </w:rPr>
        <w:t>3.5 Role of Abhishek — Research Lead and Report Author</w:t>
      </w:r>
    </w:p>
    <w:p w14:paraId="05CF24BD" w14:textId="77777777" w:rsidR="003301C0" w:rsidRPr="007C6423" w:rsidRDefault="003301C0" w:rsidP="003301C0">
      <w:pPr>
        <w:spacing w:before="60" w:after="60"/>
        <w:rPr>
          <w:rFonts w:ascii="Times New Roman" w:hAnsi="Times New Roman" w:cs="Times New Roman"/>
          <w:sz w:val="24"/>
          <w:szCs w:val="24"/>
        </w:rPr>
      </w:pPr>
      <w:r w:rsidRPr="007C6423">
        <w:rPr>
          <w:rFonts w:ascii="Times New Roman" w:hAnsi="Times New Roman" w:cs="Times New Roman"/>
          <w:sz w:val="24"/>
          <w:szCs w:val="24"/>
        </w:rPr>
        <w:t>Abhishek took the lead on the research and written documentation side of the project. He was responsible for producing the initial project proposal, including both Version 1 and Version 2 of the Group 8 Project Proposal Document. This involved defining the project scope, identifying the data sources, and outlining the analytical approach the team would follow.</w:t>
      </w:r>
    </w:p>
    <w:p w14:paraId="76C121B3" w14:textId="77777777" w:rsidR="003301C0" w:rsidRPr="007C6423" w:rsidRDefault="003301C0" w:rsidP="003301C0">
      <w:pPr>
        <w:spacing w:before="60" w:after="60"/>
        <w:rPr>
          <w:rFonts w:ascii="Times New Roman" w:hAnsi="Times New Roman" w:cs="Times New Roman"/>
          <w:sz w:val="24"/>
          <w:szCs w:val="24"/>
        </w:rPr>
      </w:pPr>
    </w:p>
    <w:p w14:paraId="6A36D553" w14:textId="77777777" w:rsidR="003301C0" w:rsidRPr="007C6423" w:rsidRDefault="003301C0" w:rsidP="003301C0">
      <w:pPr>
        <w:spacing w:before="60" w:after="60"/>
        <w:rPr>
          <w:rFonts w:ascii="Times New Roman" w:hAnsi="Times New Roman" w:cs="Times New Roman"/>
          <w:sz w:val="24"/>
          <w:szCs w:val="24"/>
        </w:rPr>
      </w:pPr>
      <w:r w:rsidRPr="007C6423">
        <w:rPr>
          <w:rFonts w:ascii="Times New Roman" w:hAnsi="Times New Roman" w:cs="Times New Roman"/>
          <w:sz w:val="24"/>
          <w:szCs w:val="24"/>
        </w:rPr>
        <w:t>For the analytical content Abhishek conducted the research into why gold prices moved the way they did across the 10-year dataset. This covered the macroeconomic and geopolitical factors behind key price events, including the 2020 COVID-19 spike, the post-pandemic inflation surge in 2022, and the broader role of gold as an inflation hedge during periods of dollar weakness. This research formed the basis of the Findings and Analysis section of the main report.</w:t>
      </w:r>
    </w:p>
    <w:p w14:paraId="54A2B063" w14:textId="77777777" w:rsidR="003301C0" w:rsidRPr="007C6423" w:rsidRDefault="003301C0" w:rsidP="003301C0">
      <w:pPr>
        <w:spacing w:before="60" w:after="60"/>
        <w:rPr>
          <w:rFonts w:ascii="Times New Roman" w:hAnsi="Times New Roman" w:cs="Times New Roman"/>
          <w:sz w:val="24"/>
          <w:szCs w:val="24"/>
        </w:rPr>
      </w:pPr>
    </w:p>
    <w:p w14:paraId="00559AA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In terms of written deliverables, Abhishek authored 50% of the main report, wrote Addendum C (User Requirements and Analysis) and Addendum D (User Guide), and contributed 50% of the final presentation. His sections covered the problem definition, persona identification, functional requirements, data sourcing rationale, and the user-facing guide to the dashboard interface.</w:t>
      </w:r>
    </w:p>
    <w:p w14:paraId="6F1A1C6E" w14:textId="77777777" w:rsidR="003301C0" w:rsidRPr="007C6423" w:rsidRDefault="003301C0" w:rsidP="003301C0">
      <w:pPr>
        <w:jc w:val="both"/>
        <w:rPr>
          <w:rFonts w:ascii="Times New Roman" w:hAnsi="Times New Roman" w:cs="Times New Roman"/>
        </w:rPr>
      </w:pPr>
    </w:p>
    <w:p w14:paraId="57C19129" w14:textId="77777777" w:rsidR="003301C0" w:rsidRPr="007C6423" w:rsidRDefault="003301C0" w:rsidP="003301C0">
      <w:pPr>
        <w:jc w:val="both"/>
        <w:rPr>
          <w:rFonts w:ascii="Times New Roman" w:hAnsi="Times New Roman" w:cs="Times New Roman"/>
        </w:rPr>
      </w:pPr>
    </w:p>
    <w:p w14:paraId="37EABB05" w14:textId="77777777" w:rsidR="003301C0" w:rsidRPr="007C6423" w:rsidRDefault="003301C0" w:rsidP="003301C0">
      <w:pPr>
        <w:spacing w:after="160"/>
        <w:jc w:val="both"/>
        <w:rPr>
          <w:rFonts w:ascii="Times New Roman" w:hAnsi="Times New Roman" w:cs="Times New Roman"/>
        </w:rPr>
      </w:pPr>
      <w:r w:rsidRPr="007C6423">
        <w:rPr>
          <w:rFonts w:ascii="Times New Roman" w:hAnsi="Times New Roman" w:cs="Times New Roman"/>
          <w:b/>
          <w:bCs/>
          <w:color w:val="1F3864"/>
          <w:sz w:val="28"/>
          <w:szCs w:val="28"/>
        </w:rPr>
        <w:t>4. Literature Review</w:t>
      </w:r>
    </w:p>
    <w:p w14:paraId="4315829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Gold has historically been considered a safe-haven asset, particularly during times of economic instability. Research in financial economics indicates that gold often performs well when traditional markets experience volatility, making it an important tool for risk management and portfolio diversification (Baur &amp; Lucey, 2010; World Gold Council, 2023).</w:t>
      </w:r>
    </w:p>
    <w:p w14:paraId="2B3F912E"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40B15FA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Time-series analysis is widely used in financial studies to understand trends and patterns in price data. Moving averages are among the simplest and most effective techniques for smoothing fluctuations and identifying long-term trends. More advanced models, such as ARIMA and exponential smoothing, are used for forecasting future price movements (Murphy, 1999).</w:t>
      </w:r>
    </w:p>
    <w:p w14:paraId="6FAEC67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1F0052F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use of business intelligence tools has significantly improved the way financial data is analyzed. Platforms like Microsoft Power BI allow users to create interactive dashboards that combine multiple data sources and provide real-time insights. These tools enhance data accessibility and support informed decision-making (Microsoft, 2025; Sharda et al., 2020).</w:t>
      </w:r>
    </w:p>
    <w:p w14:paraId="6A7BAD1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lastRenderedPageBreak/>
        <w:t xml:space="preserve"> </w:t>
      </w:r>
    </w:p>
    <w:p w14:paraId="25AD1425"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In addition, market indicators such as trading volume and price volatility provide valuable context when analyzing gold price movements. High volatility often reflects increased uncertainty or major economic events, while changes in trading volume can indicate shifts in investor interest and market activity. Including these factors alongside price trends allows for a more comprehensive understanding of gold market behavior and strengthens the overall analytical approach of this study (Hull, 2018).</w:t>
      </w:r>
    </w:p>
    <w:p w14:paraId="7BEA846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6EE6C07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methodologies and tools used in this project are based on these established concepts, ensuring both relevance and effectiveness in analyzing gold price data.</w:t>
      </w:r>
    </w:p>
    <w:p w14:paraId="25721C33" w14:textId="77777777" w:rsidR="003301C0" w:rsidRPr="007C6423" w:rsidRDefault="003301C0" w:rsidP="003301C0">
      <w:pPr>
        <w:spacing w:before="60" w:after="60"/>
        <w:jc w:val="both"/>
        <w:rPr>
          <w:rFonts w:ascii="Times New Roman" w:hAnsi="Times New Roman" w:cs="Times New Roman"/>
        </w:rPr>
      </w:pPr>
    </w:p>
    <w:p w14:paraId="25B0A652" w14:textId="77777777" w:rsidR="003301C0" w:rsidRPr="007C6423" w:rsidRDefault="003301C0" w:rsidP="003301C0">
      <w:pPr>
        <w:spacing w:before="60" w:after="60"/>
        <w:jc w:val="both"/>
        <w:rPr>
          <w:rFonts w:ascii="Times New Roman" w:hAnsi="Times New Roman" w:cs="Times New Roman"/>
        </w:rPr>
      </w:pPr>
    </w:p>
    <w:p w14:paraId="04E970CF" w14:textId="77777777" w:rsidR="003301C0" w:rsidRPr="007C6423" w:rsidRDefault="003301C0" w:rsidP="003301C0">
      <w:pPr>
        <w:spacing w:before="60" w:after="60"/>
        <w:jc w:val="both"/>
        <w:rPr>
          <w:rFonts w:ascii="Times New Roman" w:hAnsi="Times New Roman" w:cs="Times New Roman"/>
        </w:rPr>
      </w:pPr>
      <w:r w:rsidRPr="007C6423">
        <w:rPr>
          <w:rFonts w:ascii="Times New Roman" w:hAnsi="Times New Roman" w:cs="Times New Roman"/>
          <w:b/>
          <w:bCs/>
          <w:color w:val="1F3864"/>
          <w:sz w:val="28"/>
          <w:szCs w:val="28"/>
        </w:rPr>
        <w:t>5. Project Design and Development</w:t>
      </w:r>
    </w:p>
    <w:p w14:paraId="0A996096"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5.1 The Direct-Logic Model</w:t>
      </w:r>
    </w:p>
    <w:p w14:paraId="391B147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The data model in this dashboard follows what is called a Direct-Logic Model. Rather than creating a separate Calendar dimension table and joining it to the fact table, all time-related logic was embedded directly inside the </w:t>
      </w:r>
      <w:proofErr w:type="spellStart"/>
      <w:r w:rsidRPr="007C6423">
        <w:rPr>
          <w:rFonts w:ascii="Times New Roman" w:hAnsi="Times New Roman" w:cs="Times New Roman"/>
          <w:sz w:val="24"/>
          <w:szCs w:val="24"/>
        </w:rPr>
        <w:t>gold_historical_data</w:t>
      </w:r>
      <w:proofErr w:type="spellEnd"/>
      <w:r w:rsidRPr="007C6423">
        <w:rPr>
          <w:rFonts w:ascii="Times New Roman" w:hAnsi="Times New Roman" w:cs="Times New Roman"/>
          <w:sz w:val="24"/>
          <w:szCs w:val="24"/>
        </w:rPr>
        <w:t xml:space="preserve"> table and in the DAX measures that reference it.</w:t>
      </w:r>
    </w:p>
    <w:p w14:paraId="5EEDC983" w14:textId="77777777" w:rsidR="003301C0" w:rsidRPr="007C6423" w:rsidRDefault="003301C0" w:rsidP="003301C0">
      <w:pPr>
        <w:spacing w:before="60" w:after="60"/>
        <w:jc w:val="both"/>
        <w:rPr>
          <w:rFonts w:ascii="Times New Roman" w:hAnsi="Times New Roman" w:cs="Times New Roman"/>
          <w:sz w:val="24"/>
          <w:szCs w:val="24"/>
        </w:rPr>
      </w:pPr>
    </w:p>
    <w:p w14:paraId="6358991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In practice this means the Year column was added as a calculated column directly in the fact table using a simple DAX formula. Date hierarchies in the visuals, such as the Year and Quarter drill-down on the line chart, are generated by Power BI using its auto-generated </w:t>
      </w:r>
      <w:proofErr w:type="spellStart"/>
      <w:r w:rsidRPr="007C6423">
        <w:rPr>
          <w:rFonts w:ascii="Times New Roman" w:hAnsi="Times New Roman" w:cs="Times New Roman"/>
          <w:sz w:val="24"/>
          <w:szCs w:val="24"/>
        </w:rPr>
        <w:t>LocalDateTable</w:t>
      </w:r>
      <w:proofErr w:type="spellEnd"/>
      <w:r w:rsidRPr="007C6423">
        <w:rPr>
          <w:rFonts w:ascii="Times New Roman" w:hAnsi="Times New Roman" w:cs="Times New Roman"/>
          <w:sz w:val="24"/>
          <w:szCs w:val="24"/>
        </w:rPr>
        <w:t>, which is tied to the Date column in the fact table. No separate date dimension was created or imported.</w:t>
      </w:r>
    </w:p>
    <w:p w14:paraId="58F58315" w14:textId="77777777" w:rsidR="003301C0" w:rsidRPr="007C6423" w:rsidRDefault="003301C0" w:rsidP="003301C0">
      <w:pPr>
        <w:spacing w:before="60" w:after="60"/>
        <w:jc w:val="both"/>
        <w:rPr>
          <w:rFonts w:ascii="Times New Roman" w:hAnsi="Times New Roman" w:cs="Times New Roman"/>
          <w:sz w:val="24"/>
          <w:szCs w:val="24"/>
        </w:rPr>
      </w:pPr>
    </w:p>
    <w:p w14:paraId="5DB2AF45"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approach was chosen because the project only requires filtering and grouping by year and month. Adding a full Calendar table would have introduced an unnecessary join, added rows that serve no analytical purpose for this dataset, and created potential slicer performance issues when filtering large date ranges. By keeping the logic inside the fact table, every slicer interaction hits only one table, which keeps the query time short.</w:t>
      </w:r>
    </w:p>
    <w:p w14:paraId="2AFAC076" w14:textId="77777777" w:rsidR="003301C0" w:rsidRPr="007C6423" w:rsidRDefault="003301C0" w:rsidP="003301C0">
      <w:pPr>
        <w:spacing w:before="60" w:after="60"/>
        <w:jc w:val="both"/>
        <w:rPr>
          <w:rFonts w:ascii="Times New Roman" w:hAnsi="Times New Roman" w:cs="Times New Roman"/>
        </w:rPr>
      </w:pPr>
    </w:p>
    <w:p w14:paraId="70B632E6"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5.2 Mathematical Implementation of the 30-Day Moving Average</w:t>
      </w:r>
    </w:p>
    <w:p w14:paraId="18CB9F1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30-Day Moving Average is a rolling calculation that produces, for each date in the dataset, the average closing price across the 30 calendar days that end on that date. It is one of the most widely used smoothing techniques in financial analysis because it removes day-to-day price noise while still showing the underlying direction of the market.</w:t>
      </w:r>
    </w:p>
    <w:p w14:paraId="56A1E5E1" w14:textId="77777777" w:rsidR="003301C0" w:rsidRPr="007C6423" w:rsidRDefault="003301C0" w:rsidP="003301C0">
      <w:pPr>
        <w:spacing w:before="60" w:after="60"/>
        <w:jc w:val="both"/>
        <w:rPr>
          <w:rFonts w:ascii="Times New Roman" w:hAnsi="Times New Roman" w:cs="Times New Roman"/>
          <w:sz w:val="24"/>
          <w:szCs w:val="24"/>
        </w:rPr>
      </w:pPr>
    </w:p>
    <w:p w14:paraId="1BFCC40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mathematical definition is:</w:t>
      </w:r>
    </w:p>
    <w:p w14:paraId="4AF816FB" w14:textId="77777777" w:rsidR="003301C0" w:rsidRPr="007C6423" w:rsidRDefault="003301C0" w:rsidP="003301C0">
      <w:pPr>
        <w:spacing w:before="80" w:after="80"/>
        <w:jc w:val="both"/>
        <w:rPr>
          <w:rFonts w:ascii="Times New Roman" w:hAnsi="Times New Roman" w:cs="Times New Roman"/>
          <w:sz w:val="24"/>
          <w:szCs w:val="24"/>
        </w:rPr>
      </w:pPr>
      <w:r w:rsidRPr="007C6423">
        <w:rPr>
          <w:rFonts w:ascii="Times New Roman" w:eastAsia="Courier New" w:hAnsi="Times New Roman" w:cs="Times New Roman"/>
          <w:b/>
          <w:bCs/>
          <w:sz w:val="24"/>
          <w:szCs w:val="24"/>
        </w:rPr>
        <w:t>MA(t) = (1/30) * SUM [ Close(t), Close(t-1), ..., Close(t-29</w:t>
      </w:r>
      <w:proofErr w:type="gramStart"/>
      <w:r w:rsidRPr="007C6423">
        <w:rPr>
          <w:rFonts w:ascii="Times New Roman" w:eastAsia="Courier New" w:hAnsi="Times New Roman" w:cs="Times New Roman"/>
          <w:b/>
          <w:bCs/>
          <w:sz w:val="24"/>
          <w:szCs w:val="24"/>
        </w:rPr>
        <w:t>) ]</w:t>
      </w:r>
      <w:proofErr w:type="gramEnd"/>
    </w:p>
    <w:p w14:paraId="2A96730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where </w:t>
      </w:r>
      <w:proofErr w:type="spellStart"/>
      <w:r w:rsidRPr="007C6423">
        <w:rPr>
          <w:rFonts w:ascii="Times New Roman" w:hAnsi="Times New Roman" w:cs="Times New Roman"/>
          <w:sz w:val="24"/>
          <w:szCs w:val="24"/>
        </w:rPr>
        <w:t>t</w:t>
      </w:r>
      <w:proofErr w:type="spellEnd"/>
      <w:r w:rsidRPr="007C6423">
        <w:rPr>
          <w:rFonts w:ascii="Times New Roman" w:hAnsi="Times New Roman" w:cs="Times New Roman"/>
          <w:sz w:val="24"/>
          <w:szCs w:val="24"/>
        </w:rPr>
        <w:t xml:space="preserve"> is the current date and Close(t-n) is the closing price n days before the current date.</w:t>
      </w:r>
    </w:p>
    <w:p w14:paraId="68C69C57" w14:textId="77777777" w:rsidR="003301C0" w:rsidRPr="007C6423" w:rsidRDefault="003301C0" w:rsidP="003301C0">
      <w:pPr>
        <w:spacing w:before="60" w:after="60"/>
        <w:jc w:val="both"/>
        <w:rPr>
          <w:rFonts w:ascii="Times New Roman" w:hAnsi="Times New Roman" w:cs="Times New Roman"/>
          <w:sz w:val="24"/>
          <w:szCs w:val="24"/>
        </w:rPr>
      </w:pPr>
    </w:p>
    <w:p w14:paraId="2668B18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lastRenderedPageBreak/>
        <w:t xml:space="preserve">In DAX this is implemented by using CALCULATE together with DATESINPERIOD to create a dynamic window of the previous 30 days, then taking AVERAGEX over all rows within that window. The measure pulls the Close column from the </w:t>
      </w:r>
      <w:proofErr w:type="spellStart"/>
      <w:r w:rsidRPr="007C6423">
        <w:rPr>
          <w:rFonts w:ascii="Times New Roman" w:hAnsi="Times New Roman" w:cs="Times New Roman"/>
          <w:sz w:val="24"/>
          <w:szCs w:val="24"/>
        </w:rPr>
        <w:t>gold_historical_data</w:t>
      </w:r>
      <w:proofErr w:type="spellEnd"/>
      <w:r w:rsidRPr="007C6423">
        <w:rPr>
          <w:rFonts w:ascii="Times New Roman" w:hAnsi="Times New Roman" w:cs="Times New Roman"/>
          <w:sz w:val="24"/>
          <w:szCs w:val="24"/>
        </w:rPr>
        <w:t xml:space="preserve"> </w:t>
      </w:r>
      <w:proofErr w:type="gramStart"/>
      <w:r w:rsidRPr="007C6423">
        <w:rPr>
          <w:rFonts w:ascii="Times New Roman" w:hAnsi="Times New Roman" w:cs="Times New Roman"/>
          <w:sz w:val="24"/>
          <w:szCs w:val="24"/>
        </w:rPr>
        <w:t>table</w:t>
      </w:r>
      <w:proofErr w:type="gramEnd"/>
      <w:r w:rsidRPr="007C6423">
        <w:rPr>
          <w:rFonts w:ascii="Times New Roman" w:hAnsi="Times New Roman" w:cs="Times New Roman"/>
          <w:sz w:val="24"/>
          <w:szCs w:val="24"/>
        </w:rPr>
        <w:t xml:space="preserve"> and the Date column acts as the anchor for the rolling window. The result updates automatically whenever the Year slicer changes because the CALCULATE context filters propagate through the date window.</w:t>
      </w:r>
    </w:p>
    <w:p w14:paraId="196FBF3F" w14:textId="77777777" w:rsidR="003301C0" w:rsidRPr="007C6423" w:rsidRDefault="003301C0" w:rsidP="003301C0">
      <w:pPr>
        <w:spacing w:before="60" w:after="60"/>
        <w:jc w:val="both"/>
        <w:rPr>
          <w:rFonts w:ascii="Times New Roman" w:hAnsi="Times New Roman" w:cs="Times New Roman"/>
        </w:rPr>
      </w:pPr>
    </w:p>
    <w:p w14:paraId="6F088BA1"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5.3 Visual Design Choices</w:t>
      </w:r>
    </w:p>
    <w:p w14:paraId="35E1A51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The dashboard uses a single-page layout with a dark background and gold accent colors. This color scheme was selected because it matches the subject matter of the data </w:t>
      </w:r>
      <w:proofErr w:type="gramStart"/>
      <w:r w:rsidRPr="007C6423">
        <w:rPr>
          <w:rFonts w:ascii="Times New Roman" w:hAnsi="Times New Roman" w:cs="Times New Roman"/>
          <w:sz w:val="24"/>
          <w:szCs w:val="24"/>
        </w:rPr>
        <w:t>and also</w:t>
      </w:r>
      <w:proofErr w:type="gramEnd"/>
      <w:r w:rsidRPr="007C6423">
        <w:rPr>
          <w:rFonts w:ascii="Times New Roman" w:hAnsi="Times New Roman" w:cs="Times New Roman"/>
          <w:sz w:val="24"/>
          <w:szCs w:val="24"/>
        </w:rPr>
        <w:t xml:space="preserve"> creates high contrast between the chart lines and the background, making it easy to read values </w:t>
      </w:r>
      <w:proofErr w:type="gramStart"/>
      <w:r w:rsidRPr="007C6423">
        <w:rPr>
          <w:rFonts w:ascii="Times New Roman" w:hAnsi="Times New Roman" w:cs="Times New Roman"/>
          <w:sz w:val="24"/>
          <w:szCs w:val="24"/>
        </w:rPr>
        <w:t>at a glance</w:t>
      </w:r>
      <w:proofErr w:type="gramEnd"/>
      <w:r w:rsidRPr="007C6423">
        <w:rPr>
          <w:rFonts w:ascii="Times New Roman" w:hAnsi="Times New Roman" w:cs="Times New Roman"/>
          <w:sz w:val="24"/>
          <w:szCs w:val="24"/>
        </w:rPr>
        <w:t xml:space="preserve">. The </w:t>
      </w:r>
      <w:proofErr w:type="spellStart"/>
      <w:r w:rsidRPr="007C6423">
        <w:rPr>
          <w:rFonts w:ascii="Times New Roman" w:hAnsi="Times New Roman" w:cs="Times New Roman"/>
          <w:sz w:val="24"/>
          <w:szCs w:val="24"/>
        </w:rPr>
        <w:t>NewExecutive</w:t>
      </w:r>
      <w:proofErr w:type="spellEnd"/>
      <w:r w:rsidRPr="007C6423">
        <w:rPr>
          <w:rFonts w:ascii="Times New Roman" w:hAnsi="Times New Roman" w:cs="Times New Roman"/>
          <w:sz w:val="24"/>
          <w:szCs w:val="24"/>
        </w:rPr>
        <w:t xml:space="preserve"> built-in Power BI theme was applied as the base, and the gold accent was reinforced through the card visual formatting and the border styling on the table and matrix visuals.</w:t>
      </w:r>
    </w:p>
    <w:p w14:paraId="2C8711BD" w14:textId="77777777" w:rsidR="003301C0" w:rsidRPr="007C6423" w:rsidRDefault="003301C0" w:rsidP="003301C0">
      <w:pPr>
        <w:spacing w:before="60" w:after="60"/>
        <w:jc w:val="both"/>
        <w:rPr>
          <w:rFonts w:ascii="Times New Roman" w:hAnsi="Times New Roman" w:cs="Times New Roman"/>
          <w:sz w:val="24"/>
          <w:szCs w:val="24"/>
        </w:rPr>
      </w:pPr>
    </w:p>
    <w:p w14:paraId="54C043D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The Year slicer at the top of the page acts as the main filter control for all visuals. The line chart shows both the raw average close price and the 30-Day Moving Average as dual lines so users can directly compare the smoothed trend against the actual values. The KPI cards show the moving average and the year-over-year percentage change </w:t>
      </w:r>
      <w:proofErr w:type="gramStart"/>
      <w:r w:rsidRPr="007C6423">
        <w:rPr>
          <w:rFonts w:ascii="Times New Roman" w:hAnsi="Times New Roman" w:cs="Times New Roman"/>
          <w:sz w:val="24"/>
          <w:szCs w:val="24"/>
        </w:rPr>
        <w:t>at a glance</w:t>
      </w:r>
      <w:proofErr w:type="gramEnd"/>
      <w:r w:rsidRPr="007C6423">
        <w:rPr>
          <w:rFonts w:ascii="Times New Roman" w:hAnsi="Times New Roman" w:cs="Times New Roman"/>
          <w:sz w:val="24"/>
          <w:szCs w:val="24"/>
        </w:rPr>
        <w:t>. The table and matrix provide a more detailed breakdown for users who want to examine specific years or quarters.</w:t>
      </w:r>
    </w:p>
    <w:p w14:paraId="6EF79A8B" w14:textId="77777777" w:rsidR="003301C0" w:rsidRPr="007C6423" w:rsidRDefault="003301C0" w:rsidP="003301C0">
      <w:pPr>
        <w:spacing w:before="60" w:after="60"/>
        <w:jc w:val="both"/>
        <w:rPr>
          <w:rFonts w:ascii="Times New Roman" w:hAnsi="Times New Roman" w:cs="Times New Roman"/>
        </w:rPr>
      </w:pPr>
    </w:p>
    <w:p w14:paraId="2BF0C7F9" w14:textId="77777777" w:rsidR="003301C0" w:rsidRPr="007C6423" w:rsidRDefault="003301C0" w:rsidP="003301C0">
      <w:pPr>
        <w:spacing w:before="60" w:after="60"/>
        <w:jc w:val="both"/>
        <w:rPr>
          <w:rFonts w:ascii="Times New Roman" w:hAnsi="Times New Roman" w:cs="Times New Roman"/>
        </w:rPr>
      </w:pPr>
    </w:p>
    <w:p w14:paraId="4F347080"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b/>
          <w:bCs/>
          <w:color w:val="1F3864"/>
          <w:sz w:val="28"/>
          <w:szCs w:val="28"/>
        </w:rPr>
        <w:t>6. Findings and Analysis</w:t>
      </w:r>
    </w:p>
    <w:p w14:paraId="29CCBE8F" w14:textId="77777777" w:rsidR="003301C0" w:rsidRPr="007C6423" w:rsidRDefault="003301C0" w:rsidP="003301C0">
      <w:pPr>
        <w:spacing w:before="240" w:after="120"/>
        <w:jc w:val="both"/>
        <w:rPr>
          <w:rFonts w:ascii="Times New Roman" w:hAnsi="Times New Roman" w:cs="Times New Roman"/>
          <w:b/>
          <w:bCs/>
          <w:color w:val="B8900A"/>
          <w:sz w:val="24"/>
          <w:szCs w:val="24"/>
        </w:rPr>
      </w:pPr>
      <w:r w:rsidRPr="007C6423">
        <w:rPr>
          <w:rFonts w:ascii="Times New Roman" w:hAnsi="Times New Roman" w:cs="Times New Roman"/>
          <w:b/>
          <w:bCs/>
          <w:color w:val="B8900A"/>
          <w:sz w:val="24"/>
          <w:szCs w:val="24"/>
        </w:rPr>
        <w:t>6.1 Overview of the 10-Year Trend</w:t>
      </w:r>
    </w:p>
    <w:p w14:paraId="2EB7488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The gold price trend from 2016 to 2026 shows a general upward movement with noticeable fluctuations over time. In the earlier years, prices remained relatively stable with gradual increases. However, as global economic conditions changed, gold prices began to show stronger movements, reflecting its sensitivity to external financial factors (Baur &amp; Lucey, 2010; World Gold Council, 2023).</w:t>
      </w:r>
    </w:p>
    <w:p w14:paraId="4866D91B" w14:textId="77777777" w:rsidR="003301C0" w:rsidRPr="007C6423" w:rsidRDefault="003301C0" w:rsidP="003301C0">
      <w:pPr>
        <w:spacing w:before="60" w:after="60"/>
        <w:jc w:val="both"/>
        <w:rPr>
          <w:rFonts w:ascii="Times New Roman" w:hAnsi="Times New Roman" w:cs="Times New Roman"/>
        </w:rPr>
      </w:pPr>
    </w:p>
    <w:p w14:paraId="2CA3CE21" w14:textId="77777777" w:rsidR="003301C0" w:rsidRPr="007C6423" w:rsidRDefault="003301C0" w:rsidP="003301C0">
      <w:pPr>
        <w:spacing w:before="240" w:after="120"/>
        <w:jc w:val="both"/>
        <w:rPr>
          <w:rFonts w:ascii="Times New Roman" w:hAnsi="Times New Roman" w:cs="Times New Roman"/>
          <w:b/>
          <w:bCs/>
          <w:color w:val="B8900A"/>
          <w:sz w:val="24"/>
          <w:szCs w:val="24"/>
        </w:rPr>
      </w:pPr>
      <w:r w:rsidRPr="007C6423">
        <w:rPr>
          <w:rFonts w:ascii="Times New Roman" w:hAnsi="Times New Roman" w:cs="Times New Roman"/>
          <w:b/>
          <w:bCs/>
          <w:color w:val="B8900A"/>
          <w:sz w:val="24"/>
          <w:szCs w:val="24"/>
        </w:rPr>
        <w:t>6.2 Key Price Events</w:t>
      </w:r>
    </w:p>
    <w:p w14:paraId="2327A25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Between 2018 and 2019, gold prices experienced moderate growth due to global economic uncertainty and trade tensions (World Bank, 2020). There was an increase in 2020, when gold prices reached record highs during the COVID-19 pandemic as investors shifted toward safer assets (World Gold Council, 2021).</w:t>
      </w:r>
    </w:p>
    <w:p w14:paraId="428C32C8" w14:textId="77777777" w:rsidR="003301C0" w:rsidRPr="007C6423" w:rsidRDefault="003301C0" w:rsidP="003301C0">
      <w:pPr>
        <w:spacing w:before="60" w:after="60"/>
        <w:jc w:val="both"/>
        <w:rPr>
          <w:rFonts w:ascii="Times New Roman" w:hAnsi="Times New Roman" w:cs="Times New Roman"/>
          <w:sz w:val="24"/>
          <w:szCs w:val="24"/>
        </w:rPr>
      </w:pPr>
    </w:p>
    <w:p w14:paraId="1785059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In 2022, the gold price trend showed a noticeable downward movement, reflecting market adjustments influenced by factors such as rising interest rates and a strengthening U.S. dollar. During this period, investors shifted toward interest-bearing assets, reducing demand for gold and causing a temporary decline in prices (Federal Reserve, 2022; IMF, 2023).</w:t>
      </w:r>
    </w:p>
    <w:p w14:paraId="65333628" w14:textId="77777777" w:rsidR="003301C0" w:rsidRPr="007C6423" w:rsidRDefault="003301C0" w:rsidP="003301C0">
      <w:pPr>
        <w:spacing w:before="60" w:after="60"/>
        <w:jc w:val="both"/>
        <w:rPr>
          <w:rFonts w:ascii="Times New Roman" w:hAnsi="Times New Roman" w:cs="Times New Roman"/>
          <w:sz w:val="24"/>
          <w:szCs w:val="24"/>
        </w:rPr>
      </w:pPr>
    </w:p>
    <w:p w14:paraId="78B19C5B" w14:textId="77777777" w:rsidR="003301C0" w:rsidRPr="007C6423" w:rsidRDefault="003301C0" w:rsidP="003301C0">
      <w:pPr>
        <w:spacing w:before="60" w:after="60"/>
        <w:jc w:val="both"/>
        <w:rPr>
          <w:rFonts w:ascii="Times New Roman" w:eastAsia="Times New Roman" w:hAnsi="Times New Roman" w:cs="Times New Roman"/>
          <w:sz w:val="24"/>
          <w:szCs w:val="24"/>
        </w:rPr>
      </w:pPr>
      <w:r w:rsidRPr="007C6423">
        <w:rPr>
          <w:rFonts w:ascii="Times New Roman" w:eastAsia="Times New Roman" w:hAnsi="Times New Roman" w:cs="Times New Roman"/>
          <w:sz w:val="24"/>
          <w:szCs w:val="24"/>
        </w:rPr>
        <w:lastRenderedPageBreak/>
        <w:t>However, after 2022, gold prices began to increase rapidly, which is clearly reflected by a sharp upward trend in the graph. This recovery can be attributed to renewed economic uncertainty, inflationary pressures, and increased demand for safe-haven assets (World Gold Council, 2024). As a result, gold regained its upward momentum, demonstrating its resilience and long-term value in volatile market conditions.</w:t>
      </w:r>
    </w:p>
    <w:p w14:paraId="50C84A9D" w14:textId="77777777" w:rsidR="003301C0" w:rsidRPr="007C6423" w:rsidRDefault="003301C0" w:rsidP="003301C0">
      <w:pPr>
        <w:spacing w:before="60" w:after="60"/>
        <w:jc w:val="both"/>
        <w:rPr>
          <w:rFonts w:ascii="Times New Roman" w:hAnsi="Times New Roman" w:cs="Times New Roman"/>
        </w:rPr>
      </w:pPr>
    </w:p>
    <w:p w14:paraId="2EE3571B" w14:textId="77777777" w:rsidR="003301C0" w:rsidRPr="007C6423" w:rsidRDefault="003301C0" w:rsidP="003301C0">
      <w:pPr>
        <w:spacing w:before="240" w:after="120"/>
        <w:jc w:val="both"/>
        <w:rPr>
          <w:rFonts w:ascii="Times New Roman" w:hAnsi="Times New Roman" w:cs="Times New Roman"/>
          <w:b/>
          <w:bCs/>
          <w:color w:val="B8900A"/>
          <w:sz w:val="24"/>
          <w:szCs w:val="24"/>
        </w:rPr>
      </w:pPr>
      <w:r w:rsidRPr="007C6423">
        <w:rPr>
          <w:rFonts w:ascii="Times New Roman" w:hAnsi="Times New Roman" w:cs="Times New Roman"/>
          <w:b/>
          <w:bCs/>
          <w:color w:val="B8900A"/>
          <w:sz w:val="24"/>
          <w:szCs w:val="24"/>
        </w:rPr>
        <w:t>6.3 What the Moving Average Reveals</w:t>
      </w:r>
    </w:p>
    <w:p w14:paraId="62917A2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The 30-Day Moving Average provides a smoothed representation of gold prices by reducing short-term fluctuations. This makes it easier to identify long-term trends and understand the overall direction of the market (Murphy, 1999).</w:t>
      </w:r>
    </w:p>
    <w:p w14:paraId="02071D3B" w14:textId="77777777" w:rsidR="003301C0" w:rsidRPr="007C6423" w:rsidRDefault="003301C0" w:rsidP="003301C0">
      <w:pPr>
        <w:spacing w:before="60" w:after="60"/>
        <w:jc w:val="both"/>
        <w:rPr>
          <w:rFonts w:ascii="Times New Roman" w:hAnsi="Times New Roman" w:cs="Times New Roman"/>
          <w:sz w:val="24"/>
          <w:szCs w:val="24"/>
        </w:rPr>
      </w:pPr>
    </w:p>
    <w:p w14:paraId="65F920B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By comparing the moving average with actual price values, users can observe how short-term volatility differs from long-term trends, helping in better interpretation of market behavior.</w:t>
      </w:r>
    </w:p>
    <w:p w14:paraId="21692D35" w14:textId="77777777" w:rsidR="003301C0" w:rsidRPr="007C6423" w:rsidRDefault="003301C0" w:rsidP="003301C0">
      <w:pPr>
        <w:spacing w:before="60" w:after="60"/>
        <w:jc w:val="both"/>
        <w:rPr>
          <w:rFonts w:ascii="Times New Roman" w:hAnsi="Times New Roman" w:cs="Times New Roman"/>
        </w:rPr>
      </w:pPr>
    </w:p>
    <w:p w14:paraId="5AF8061F" w14:textId="77777777" w:rsidR="003301C0" w:rsidRPr="007C6423" w:rsidRDefault="003301C0" w:rsidP="003301C0">
      <w:pPr>
        <w:spacing w:before="240" w:after="120"/>
        <w:jc w:val="both"/>
        <w:rPr>
          <w:rFonts w:ascii="Times New Roman" w:hAnsi="Times New Roman" w:cs="Times New Roman"/>
          <w:b/>
          <w:bCs/>
          <w:color w:val="B8900A"/>
          <w:sz w:val="24"/>
          <w:szCs w:val="24"/>
        </w:rPr>
      </w:pPr>
      <w:r w:rsidRPr="007C6423">
        <w:rPr>
          <w:rFonts w:ascii="Times New Roman" w:hAnsi="Times New Roman" w:cs="Times New Roman"/>
          <w:b/>
          <w:bCs/>
          <w:color w:val="B8900A"/>
          <w:sz w:val="24"/>
          <w:szCs w:val="24"/>
        </w:rPr>
        <w:t>6.4 Year-over-Year Analysis</w:t>
      </w:r>
    </w:p>
    <w:p w14:paraId="780FB21E"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The Year-over-Year (YoY) percentage change highlights variations in gold price performance across different years. A significant increase is observed in 2020 due to global uncertainty and the heightened demand for safe-haven assets during the COVID-19 pandemic (World Gold Council, 2021).</w:t>
      </w:r>
    </w:p>
    <w:p w14:paraId="0D312775" w14:textId="77777777" w:rsidR="003301C0" w:rsidRPr="007C6423" w:rsidRDefault="003301C0" w:rsidP="003301C0">
      <w:pPr>
        <w:spacing w:before="60" w:after="60"/>
        <w:jc w:val="both"/>
        <w:rPr>
          <w:rFonts w:ascii="Times New Roman" w:hAnsi="Times New Roman" w:cs="Times New Roman"/>
          <w:sz w:val="24"/>
          <w:szCs w:val="24"/>
        </w:rPr>
      </w:pPr>
    </w:p>
    <w:p w14:paraId="31C35F0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A more substantial increase is observed after 2023, where gold prices began rising sharply. The graph indicates a rapid upward trend, with prices increasing significantly compared to previous years. This sharp growth can be attributed to ongoing inflationary pressures, geopolitical tensions, and continued uncertainty in global financial markets (IMF, 2024; World Gold Council, 2024). As investors sought stability, demand for gold increased, leading to a strong upward movement in prices.</w:t>
      </w:r>
    </w:p>
    <w:p w14:paraId="2F21CA91" w14:textId="77777777" w:rsidR="003301C0" w:rsidRPr="007C6423" w:rsidRDefault="003301C0" w:rsidP="003301C0">
      <w:pPr>
        <w:spacing w:before="60" w:after="60"/>
        <w:jc w:val="both"/>
        <w:rPr>
          <w:rFonts w:ascii="Times New Roman" w:hAnsi="Times New Roman" w:cs="Times New Roman"/>
          <w:sz w:val="24"/>
          <w:szCs w:val="24"/>
        </w:rPr>
      </w:pPr>
    </w:p>
    <w:p w14:paraId="3E64DE8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In some cases, the increase appears dramatic, with prices showing a near doubling effect compared to earlier periods, highlighting the strong bullish trend in the market after 2023.</w:t>
      </w:r>
    </w:p>
    <w:p w14:paraId="3EBA2102" w14:textId="77777777" w:rsidR="003301C0" w:rsidRPr="007C6423" w:rsidRDefault="003301C0" w:rsidP="003301C0">
      <w:pPr>
        <w:spacing w:before="60" w:after="60"/>
        <w:jc w:val="both"/>
        <w:rPr>
          <w:rFonts w:ascii="Times New Roman" w:hAnsi="Times New Roman" w:cs="Times New Roman"/>
          <w:sz w:val="24"/>
          <w:szCs w:val="24"/>
        </w:rPr>
      </w:pPr>
    </w:p>
    <w:p w14:paraId="05913182"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Other years show moderate growth or slight declines depending on economic conditions such as inflation, interest rates, and currency strength, which influence investor behavior and gold price movements.</w:t>
      </w:r>
    </w:p>
    <w:p w14:paraId="2E24EB4B" w14:textId="77777777" w:rsidR="003301C0" w:rsidRPr="007C6423" w:rsidRDefault="003301C0" w:rsidP="003301C0">
      <w:pPr>
        <w:spacing w:before="60" w:after="60"/>
        <w:jc w:val="both"/>
        <w:rPr>
          <w:rFonts w:ascii="Times New Roman" w:hAnsi="Times New Roman" w:cs="Times New Roman"/>
        </w:rPr>
      </w:pPr>
    </w:p>
    <w:p w14:paraId="59637662" w14:textId="77777777" w:rsidR="003301C0" w:rsidRPr="007C6423" w:rsidRDefault="003301C0" w:rsidP="003301C0">
      <w:pPr>
        <w:spacing w:before="240" w:after="120"/>
        <w:jc w:val="both"/>
        <w:rPr>
          <w:rFonts w:ascii="Times New Roman" w:hAnsi="Times New Roman" w:cs="Times New Roman"/>
          <w:b/>
          <w:bCs/>
          <w:color w:val="B8900A"/>
          <w:sz w:val="24"/>
          <w:szCs w:val="24"/>
        </w:rPr>
      </w:pPr>
      <w:r w:rsidRPr="007C6423">
        <w:rPr>
          <w:rFonts w:ascii="Times New Roman" w:hAnsi="Times New Roman" w:cs="Times New Roman"/>
          <w:b/>
          <w:bCs/>
          <w:color w:val="B8900A"/>
          <w:sz w:val="24"/>
          <w:szCs w:val="24"/>
        </w:rPr>
        <w:t>6.5 Additional Insights (Volume &amp; Volatility)</w:t>
      </w:r>
    </w:p>
    <w:p w14:paraId="57C17B25"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Trading volume and daily volatility provide deeper insight into market behavior. Periods of high volatility are often associated with major economic events, indicating uncertainty and strong investor reactions (Hull, 2018).</w:t>
      </w:r>
    </w:p>
    <w:p w14:paraId="174DEE23" w14:textId="373DE7E1"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eastAsia="Times New Roman" w:hAnsi="Times New Roman" w:cs="Times New Roman"/>
          <w:sz w:val="24"/>
          <w:szCs w:val="24"/>
        </w:rPr>
        <w:t>Similarly, increased trading volume reflects higher market participation and interest in gold as an asset. These indicators complement price trends and enhance the overall analysis.</w:t>
      </w:r>
    </w:p>
    <w:p w14:paraId="23B57B00"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b/>
          <w:bCs/>
          <w:color w:val="1F3864"/>
          <w:sz w:val="28"/>
          <w:szCs w:val="28"/>
        </w:rPr>
        <w:lastRenderedPageBreak/>
        <w:t>7. Future Work</w:t>
      </w:r>
    </w:p>
    <w:p w14:paraId="043C7104"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7.1 Option A: Forecasting Engine</w:t>
      </w:r>
    </w:p>
    <w:p w14:paraId="1DC85AE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most logical next step for this dashboard is to add a forecasting capability, referred to in the project planning notes as Option A. The idea is to extend the existing 30-Day Moving Average logic into a short-range price forecast that projects gold prices 30 to 90 days into the future. At its simplest level this could be done inside Power BI using the built-in Analytics pane forecast feature on the line chart, which fits an exponential smoothing model to the historical close prices. This would require no additional data sources and could be turned on within the existing report.</w:t>
      </w:r>
    </w:p>
    <w:p w14:paraId="2A542F74" w14:textId="77777777" w:rsidR="003301C0" w:rsidRPr="007C6423" w:rsidRDefault="003301C0" w:rsidP="003301C0">
      <w:pPr>
        <w:spacing w:before="60" w:after="60"/>
        <w:jc w:val="both"/>
        <w:rPr>
          <w:rFonts w:ascii="Times New Roman" w:hAnsi="Times New Roman" w:cs="Times New Roman"/>
          <w:sz w:val="24"/>
          <w:szCs w:val="24"/>
        </w:rPr>
      </w:pPr>
    </w:p>
    <w:p w14:paraId="7AAD3F5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 more capable version would move the forecasting calculation outside of Power BI and into a Python or R script that runs as part of the data refresh process. A simple ARIMA or linear regression model trained on the historical close price data would produce forecasted values as a new table, which could then be loaded into the data model and plotted alongside the actual prices.</w:t>
      </w:r>
    </w:p>
    <w:p w14:paraId="6362FFE2" w14:textId="77777777" w:rsidR="003301C0" w:rsidRPr="007C6423" w:rsidRDefault="003301C0" w:rsidP="003301C0">
      <w:pPr>
        <w:spacing w:before="60" w:after="60"/>
        <w:jc w:val="both"/>
        <w:rPr>
          <w:rFonts w:ascii="Times New Roman" w:hAnsi="Times New Roman" w:cs="Times New Roman"/>
        </w:rPr>
      </w:pPr>
    </w:p>
    <w:p w14:paraId="67FF6BDF"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7.2 External API Integrations</w:t>
      </w:r>
    </w:p>
    <w:p w14:paraId="4CDA43FF"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dashboard currently uses a static Kaggle dataset as its primary data source. One of the main limitations of this setup is that the data needs to be manually downloaded and re-imported to refresh. A future version could replace this with a live data connection to the Yahoo Finance API, which provides daily open, high, low, close, and volume data for gold futures (GC=F) and gold ETFs such as GLD.</w:t>
      </w:r>
    </w:p>
    <w:p w14:paraId="6C6F5C62" w14:textId="77777777" w:rsidR="003301C0" w:rsidRPr="007C6423" w:rsidRDefault="003301C0" w:rsidP="003301C0">
      <w:pPr>
        <w:spacing w:before="60" w:after="60"/>
        <w:jc w:val="both"/>
        <w:rPr>
          <w:rFonts w:ascii="Times New Roman" w:hAnsi="Times New Roman" w:cs="Times New Roman"/>
          <w:sz w:val="24"/>
          <w:szCs w:val="24"/>
        </w:rPr>
      </w:pPr>
    </w:p>
    <w:p w14:paraId="0738182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Connecting to the Yahoo Finance API through Power BI's Web connector or through a scheduled Python script would allow the dashboard to refresh automatically </w:t>
      </w:r>
      <w:proofErr w:type="gramStart"/>
      <w:r w:rsidRPr="007C6423">
        <w:rPr>
          <w:rFonts w:ascii="Times New Roman" w:hAnsi="Times New Roman" w:cs="Times New Roman"/>
          <w:sz w:val="24"/>
          <w:szCs w:val="24"/>
        </w:rPr>
        <w:t>on a daily basis</w:t>
      </w:r>
      <w:proofErr w:type="gramEnd"/>
      <w:r w:rsidRPr="007C6423">
        <w:rPr>
          <w:rFonts w:ascii="Times New Roman" w:hAnsi="Times New Roman" w:cs="Times New Roman"/>
          <w:sz w:val="24"/>
          <w:szCs w:val="24"/>
        </w:rPr>
        <w:t xml:space="preserve">. This would make the moving </w:t>
      </w:r>
      <w:proofErr w:type="gramStart"/>
      <w:r w:rsidRPr="007C6423">
        <w:rPr>
          <w:rFonts w:ascii="Times New Roman" w:hAnsi="Times New Roman" w:cs="Times New Roman"/>
          <w:sz w:val="24"/>
          <w:szCs w:val="24"/>
        </w:rPr>
        <w:t>average</w:t>
      </w:r>
      <w:proofErr w:type="gramEnd"/>
      <w:r w:rsidRPr="007C6423">
        <w:rPr>
          <w:rFonts w:ascii="Times New Roman" w:hAnsi="Times New Roman" w:cs="Times New Roman"/>
          <w:sz w:val="24"/>
          <w:szCs w:val="24"/>
        </w:rPr>
        <w:t xml:space="preserve"> and year-over-year calculations reflect current market conditions without any manual steps.</w:t>
      </w:r>
    </w:p>
    <w:p w14:paraId="0E02A5D9" w14:textId="77777777" w:rsidR="003301C0" w:rsidRPr="007C6423" w:rsidRDefault="003301C0" w:rsidP="003301C0">
      <w:pPr>
        <w:spacing w:before="60" w:after="60"/>
        <w:jc w:val="both"/>
        <w:rPr>
          <w:rFonts w:ascii="Times New Roman" w:hAnsi="Times New Roman" w:cs="Times New Roman"/>
          <w:sz w:val="24"/>
          <w:szCs w:val="24"/>
        </w:rPr>
      </w:pPr>
    </w:p>
    <w:p w14:paraId="16A132F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Beyond price data, two other API integrations would add meaningful context to the analysis. First, a connection to a macroeconomic data provider such as the Federal Reserve Economic Data (FRED) API would allow the dashboard to overlay U.S. dollar index values or inflation rate data alongside the gold price trend. Gold prices historically move in the opposite direction of the dollar, so showing both on the same chart would make the analysis significantly more useful. Second, a news sentiment API could be used to flag dates with major geopolitical events that are known to cause spikes in gold demand, giving analysts a way to separate event-driven price movements from gradual trend changes.</w:t>
      </w:r>
    </w:p>
    <w:p w14:paraId="412D5CB0" w14:textId="77777777" w:rsidR="003301C0" w:rsidRPr="007C6423" w:rsidRDefault="003301C0" w:rsidP="003301C0">
      <w:pPr>
        <w:spacing w:before="60" w:after="60"/>
        <w:jc w:val="both"/>
        <w:rPr>
          <w:rFonts w:ascii="Times New Roman" w:hAnsi="Times New Roman" w:cs="Times New Roman"/>
        </w:rPr>
      </w:pPr>
    </w:p>
    <w:p w14:paraId="0449AACD"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t>8. Conclusion</w:t>
      </w:r>
    </w:p>
    <w:p w14:paraId="192A2C4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This project successfully developed an interactive Gold Price Analytics Dashboard using Microsoft Power BI to analyze historical gold price trends over a ten-year period from 2016 to 2026. By leveraging reliable data sources and applying time-series analysis techniques, the project </w:t>
      </w:r>
      <w:r w:rsidRPr="007C6423">
        <w:rPr>
          <w:rFonts w:ascii="Times New Roman" w:hAnsi="Times New Roman" w:cs="Times New Roman"/>
          <w:sz w:val="24"/>
          <w:szCs w:val="24"/>
        </w:rPr>
        <w:lastRenderedPageBreak/>
        <w:t>provides a comprehensive understanding of gold price behavior and the factors influencing its movement.</w:t>
      </w:r>
    </w:p>
    <w:p w14:paraId="01F257CC"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491EEE12"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findings highlight that gold prices are significantly affected by global economic conditions, including inflation, interest rates, and geopolitical uncertainty. The analysis clearly demonstrates major events such as the sharp increase during the COVID-19 pandemic in 2020, the temporary decline in 2022 due to rising interest rates, and the strong upward trend observed after 2023. These patterns reinforce gold’s role as a safe-haven asset during periods of financial instability.</w:t>
      </w:r>
    </w:p>
    <w:p w14:paraId="42A014E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124E2BF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use of analytical measures such as the 30-Day Moving Average and Year-over-Year percentage change enabled a deeper interpretation of both short-term fluctuations and long-term trends. Additionally, the interactive dashboard design enhanced usability, allowing users to explore data dynamically and gain insights efficiently.</w:t>
      </w:r>
    </w:p>
    <w:p w14:paraId="5BF9AB5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142E6E0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Overall, this project demonstrates the effectiveness of visual analytics in transforming complex financial datasets into meaningful and actionable insights. Future enhancements, such as integrating forecasting models and real-time data sources, can further improve the dashboard’s analytical capabilities and support more advanced financial decision-making.</w:t>
      </w:r>
    </w:p>
    <w:p w14:paraId="543F4148"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19B838FB"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9. References</w:t>
      </w:r>
    </w:p>
    <w:p w14:paraId="4B6EB625"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Baur, D. G., &amp; Lucey, B. M. (2010). Is gold a hedge or </w:t>
      </w:r>
      <w:proofErr w:type="gramStart"/>
      <w:r w:rsidRPr="007C6423">
        <w:rPr>
          <w:rFonts w:ascii="Times New Roman" w:eastAsia="Times New Roman" w:hAnsi="Times New Roman" w:cs="Times New Roman"/>
          <w:sz w:val="24"/>
          <w:szCs w:val="24"/>
        </w:rPr>
        <w:t>a safe haven</w:t>
      </w:r>
      <w:proofErr w:type="gramEnd"/>
      <w:r w:rsidRPr="007C6423">
        <w:rPr>
          <w:rFonts w:ascii="Times New Roman" w:eastAsia="Times New Roman" w:hAnsi="Times New Roman" w:cs="Times New Roman"/>
          <w:sz w:val="24"/>
          <w:szCs w:val="24"/>
        </w:rPr>
        <w:t xml:space="preserve">? </w:t>
      </w:r>
      <w:r w:rsidRPr="007C6423">
        <w:rPr>
          <w:rFonts w:ascii="Times New Roman" w:eastAsia="Times New Roman" w:hAnsi="Times New Roman" w:cs="Times New Roman"/>
          <w:i/>
          <w:iCs/>
          <w:sz w:val="24"/>
          <w:szCs w:val="24"/>
        </w:rPr>
        <w:t>Financial Review</w:t>
      </w:r>
      <w:r w:rsidRPr="007C6423">
        <w:rPr>
          <w:rFonts w:ascii="Times New Roman" w:eastAsia="Times New Roman" w:hAnsi="Times New Roman" w:cs="Times New Roman"/>
          <w:sz w:val="24"/>
          <w:szCs w:val="24"/>
        </w:rPr>
        <w:t>, 45(2), 217–229.</w:t>
      </w:r>
    </w:p>
    <w:p w14:paraId="714E95C9"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Hull, J. C. (2018). </w:t>
      </w:r>
      <w:r w:rsidRPr="007C6423">
        <w:rPr>
          <w:rFonts w:ascii="Times New Roman" w:eastAsia="Times New Roman" w:hAnsi="Times New Roman" w:cs="Times New Roman"/>
          <w:i/>
          <w:iCs/>
          <w:sz w:val="24"/>
          <w:szCs w:val="24"/>
        </w:rPr>
        <w:t>Options, futures, and other derivatives</w:t>
      </w:r>
      <w:r w:rsidRPr="007C6423">
        <w:rPr>
          <w:rFonts w:ascii="Times New Roman" w:eastAsia="Times New Roman" w:hAnsi="Times New Roman" w:cs="Times New Roman"/>
          <w:sz w:val="24"/>
          <w:szCs w:val="24"/>
        </w:rPr>
        <w:t xml:space="preserve"> (10th ed.). Pearson.</w:t>
      </w:r>
    </w:p>
    <w:p w14:paraId="6ED532E2"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International Monetary Fund. (2023). </w:t>
      </w:r>
      <w:r w:rsidRPr="007C6423">
        <w:rPr>
          <w:rFonts w:ascii="Times New Roman" w:eastAsia="Times New Roman" w:hAnsi="Times New Roman" w:cs="Times New Roman"/>
          <w:i/>
          <w:iCs/>
          <w:sz w:val="24"/>
          <w:szCs w:val="24"/>
        </w:rPr>
        <w:t>World economic outlook</w:t>
      </w:r>
      <w:r w:rsidRPr="007C6423">
        <w:rPr>
          <w:rFonts w:ascii="Times New Roman" w:eastAsia="Times New Roman" w:hAnsi="Times New Roman" w:cs="Times New Roman"/>
          <w:sz w:val="24"/>
          <w:szCs w:val="24"/>
        </w:rPr>
        <w:t xml:space="preserve">. </w:t>
      </w:r>
      <w:hyperlink r:id="rId7">
        <w:r w:rsidRPr="007C6423">
          <w:rPr>
            <w:rStyle w:val="Hyperlink"/>
            <w:rFonts w:ascii="Times New Roman" w:eastAsia="Times New Roman" w:hAnsi="Times New Roman" w:cs="Times New Roman"/>
            <w:sz w:val="24"/>
            <w:szCs w:val="24"/>
          </w:rPr>
          <w:t>https://www.imf.org</w:t>
        </w:r>
      </w:hyperlink>
    </w:p>
    <w:p w14:paraId="040DF37A"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International Monetary Fund. (2024). </w:t>
      </w:r>
      <w:r w:rsidRPr="007C6423">
        <w:rPr>
          <w:rFonts w:ascii="Times New Roman" w:eastAsia="Times New Roman" w:hAnsi="Times New Roman" w:cs="Times New Roman"/>
          <w:i/>
          <w:iCs/>
          <w:sz w:val="24"/>
          <w:szCs w:val="24"/>
        </w:rPr>
        <w:t>Global financial stability report</w:t>
      </w:r>
      <w:r w:rsidRPr="007C6423">
        <w:rPr>
          <w:rFonts w:ascii="Times New Roman" w:eastAsia="Times New Roman" w:hAnsi="Times New Roman" w:cs="Times New Roman"/>
          <w:sz w:val="24"/>
          <w:szCs w:val="24"/>
        </w:rPr>
        <w:t xml:space="preserve">. </w:t>
      </w:r>
      <w:hyperlink r:id="rId8">
        <w:r w:rsidRPr="007C6423">
          <w:rPr>
            <w:rStyle w:val="Hyperlink"/>
            <w:rFonts w:ascii="Times New Roman" w:eastAsia="Times New Roman" w:hAnsi="Times New Roman" w:cs="Times New Roman"/>
            <w:sz w:val="24"/>
            <w:szCs w:val="24"/>
          </w:rPr>
          <w:t>https://www.imf.org</w:t>
        </w:r>
      </w:hyperlink>
    </w:p>
    <w:p w14:paraId="26424E0A"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Microsoft. (2025). </w:t>
      </w:r>
      <w:r w:rsidRPr="007C6423">
        <w:rPr>
          <w:rFonts w:ascii="Times New Roman" w:eastAsia="Times New Roman" w:hAnsi="Times New Roman" w:cs="Times New Roman"/>
          <w:i/>
          <w:iCs/>
          <w:sz w:val="24"/>
          <w:szCs w:val="24"/>
        </w:rPr>
        <w:t>Power BI documentation</w:t>
      </w:r>
      <w:r w:rsidRPr="007C6423">
        <w:rPr>
          <w:rFonts w:ascii="Times New Roman" w:eastAsia="Times New Roman" w:hAnsi="Times New Roman" w:cs="Times New Roman"/>
          <w:sz w:val="24"/>
          <w:szCs w:val="24"/>
        </w:rPr>
        <w:t xml:space="preserve">. </w:t>
      </w:r>
      <w:hyperlink r:id="rId9">
        <w:r w:rsidRPr="007C6423">
          <w:rPr>
            <w:rStyle w:val="Hyperlink"/>
            <w:rFonts w:ascii="Times New Roman" w:eastAsia="Times New Roman" w:hAnsi="Times New Roman" w:cs="Times New Roman"/>
            <w:sz w:val="24"/>
            <w:szCs w:val="24"/>
          </w:rPr>
          <w:t>https://learn.microsoft.com/power-bi</w:t>
        </w:r>
      </w:hyperlink>
    </w:p>
    <w:p w14:paraId="58B88A62"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Murphy, J. J. (1999). </w:t>
      </w:r>
      <w:r w:rsidRPr="007C6423">
        <w:rPr>
          <w:rFonts w:ascii="Times New Roman" w:eastAsia="Times New Roman" w:hAnsi="Times New Roman" w:cs="Times New Roman"/>
          <w:i/>
          <w:iCs/>
          <w:sz w:val="24"/>
          <w:szCs w:val="24"/>
        </w:rPr>
        <w:t>Technical analysis of the financial markets</w:t>
      </w:r>
      <w:r w:rsidRPr="007C6423">
        <w:rPr>
          <w:rFonts w:ascii="Times New Roman" w:eastAsia="Times New Roman" w:hAnsi="Times New Roman" w:cs="Times New Roman"/>
          <w:sz w:val="24"/>
          <w:szCs w:val="24"/>
        </w:rPr>
        <w:t>. New York Institute of Finance.</w:t>
      </w:r>
    </w:p>
    <w:p w14:paraId="3AA1A6A5"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World Bank. (2020). </w:t>
      </w:r>
      <w:r w:rsidRPr="007C6423">
        <w:rPr>
          <w:rFonts w:ascii="Times New Roman" w:eastAsia="Times New Roman" w:hAnsi="Times New Roman" w:cs="Times New Roman"/>
          <w:i/>
          <w:iCs/>
          <w:sz w:val="24"/>
          <w:szCs w:val="24"/>
        </w:rPr>
        <w:t>Commodity markets outlook</w:t>
      </w:r>
      <w:r w:rsidRPr="007C6423">
        <w:rPr>
          <w:rFonts w:ascii="Times New Roman" w:eastAsia="Times New Roman" w:hAnsi="Times New Roman" w:cs="Times New Roman"/>
          <w:sz w:val="24"/>
          <w:szCs w:val="24"/>
        </w:rPr>
        <w:t xml:space="preserve">. </w:t>
      </w:r>
      <w:hyperlink r:id="rId10">
        <w:r w:rsidRPr="007C6423">
          <w:rPr>
            <w:rStyle w:val="Hyperlink"/>
            <w:rFonts w:ascii="Times New Roman" w:eastAsia="Times New Roman" w:hAnsi="Times New Roman" w:cs="Times New Roman"/>
            <w:sz w:val="24"/>
            <w:szCs w:val="24"/>
          </w:rPr>
          <w:t>https://www.worldbank.org</w:t>
        </w:r>
      </w:hyperlink>
    </w:p>
    <w:p w14:paraId="6682E7FF"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World Gold Council. (2021). </w:t>
      </w:r>
      <w:r w:rsidRPr="007C6423">
        <w:rPr>
          <w:rFonts w:ascii="Times New Roman" w:eastAsia="Times New Roman" w:hAnsi="Times New Roman" w:cs="Times New Roman"/>
          <w:i/>
          <w:iCs/>
          <w:sz w:val="24"/>
          <w:szCs w:val="24"/>
        </w:rPr>
        <w:t>Gold demand trends</w:t>
      </w:r>
      <w:r w:rsidRPr="007C6423">
        <w:rPr>
          <w:rFonts w:ascii="Times New Roman" w:eastAsia="Times New Roman" w:hAnsi="Times New Roman" w:cs="Times New Roman"/>
          <w:sz w:val="24"/>
          <w:szCs w:val="24"/>
        </w:rPr>
        <w:t xml:space="preserve">. </w:t>
      </w:r>
      <w:hyperlink r:id="rId11">
        <w:r w:rsidRPr="007C6423">
          <w:rPr>
            <w:rStyle w:val="Hyperlink"/>
            <w:rFonts w:ascii="Times New Roman" w:eastAsia="Times New Roman" w:hAnsi="Times New Roman" w:cs="Times New Roman"/>
            <w:sz w:val="24"/>
            <w:szCs w:val="24"/>
          </w:rPr>
          <w:t>https://www.gold.org</w:t>
        </w:r>
      </w:hyperlink>
    </w:p>
    <w:p w14:paraId="470B1C98"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World Gold Council. (2023). </w:t>
      </w:r>
      <w:r w:rsidRPr="007C6423">
        <w:rPr>
          <w:rFonts w:ascii="Times New Roman" w:eastAsia="Times New Roman" w:hAnsi="Times New Roman" w:cs="Times New Roman"/>
          <w:i/>
          <w:iCs/>
          <w:sz w:val="24"/>
          <w:szCs w:val="24"/>
        </w:rPr>
        <w:t>Gold market outlook</w:t>
      </w:r>
      <w:r w:rsidRPr="007C6423">
        <w:rPr>
          <w:rFonts w:ascii="Times New Roman" w:eastAsia="Times New Roman" w:hAnsi="Times New Roman" w:cs="Times New Roman"/>
          <w:sz w:val="24"/>
          <w:szCs w:val="24"/>
        </w:rPr>
        <w:t xml:space="preserve">. </w:t>
      </w:r>
      <w:hyperlink r:id="rId12">
        <w:r w:rsidRPr="007C6423">
          <w:rPr>
            <w:rStyle w:val="Hyperlink"/>
            <w:rFonts w:ascii="Times New Roman" w:eastAsia="Times New Roman" w:hAnsi="Times New Roman" w:cs="Times New Roman"/>
            <w:sz w:val="24"/>
            <w:szCs w:val="24"/>
          </w:rPr>
          <w:t>https://www.gold.org</w:t>
        </w:r>
      </w:hyperlink>
    </w:p>
    <w:p w14:paraId="1054CFD5"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World Gold Council. (2024). </w:t>
      </w:r>
      <w:r w:rsidRPr="007C6423">
        <w:rPr>
          <w:rFonts w:ascii="Times New Roman" w:eastAsia="Times New Roman" w:hAnsi="Times New Roman" w:cs="Times New Roman"/>
          <w:i/>
          <w:iCs/>
          <w:sz w:val="24"/>
          <w:szCs w:val="24"/>
        </w:rPr>
        <w:t>Gold demand trends</w:t>
      </w:r>
      <w:r w:rsidRPr="007C6423">
        <w:rPr>
          <w:rFonts w:ascii="Times New Roman" w:eastAsia="Times New Roman" w:hAnsi="Times New Roman" w:cs="Times New Roman"/>
          <w:sz w:val="24"/>
          <w:szCs w:val="24"/>
        </w:rPr>
        <w:t xml:space="preserve">. </w:t>
      </w:r>
      <w:hyperlink r:id="rId13">
        <w:r w:rsidRPr="007C6423">
          <w:rPr>
            <w:rStyle w:val="Hyperlink"/>
            <w:rFonts w:ascii="Times New Roman" w:eastAsia="Times New Roman" w:hAnsi="Times New Roman" w:cs="Times New Roman"/>
            <w:sz w:val="24"/>
            <w:szCs w:val="24"/>
          </w:rPr>
          <w:t>https://www.gold.org</w:t>
        </w:r>
      </w:hyperlink>
    </w:p>
    <w:p w14:paraId="20B5E557"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Kaggle. (2026). </w:t>
      </w:r>
      <w:r w:rsidRPr="007C6423">
        <w:rPr>
          <w:rFonts w:ascii="Times New Roman" w:eastAsia="Times New Roman" w:hAnsi="Times New Roman" w:cs="Times New Roman"/>
          <w:i/>
          <w:iCs/>
          <w:sz w:val="24"/>
          <w:szCs w:val="24"/>
        </w:rPr>
        <w:t xml:space="preserve">Gold price analysis – </w:t>
      </w:r>
      <w:proofErr w:type="gramStart"/>
      <w:r w:rsidRPr="007C6423">
        <w:rPr>
          <w:rFonts w:ascii="Times New Roman" w:eastAsia="Times New Roman" w:hAnsi="Times New Roman" w:cs="Times New Roman"/>
          <w:i/>
          <w:iCs/>
          <w:sz w:val="24"/>
          <w:szCs w:val="24"/>
        </w:rPr>
        <w:t>10 year</w:t>
      </w:r>
      <w:proofErr w:type="gramEnd"/>
      <w:r w:rsidRPr="007C6423">
        <w:rPr>
          <w:rFonts w:ascii="Times New Roman" w:eastAsia="Times New Roman" w:hAnsi="Times New Roman" w:cs="Times New Roman"/>
          <w:i/>
          <w:iCs/>
          <w:sz w:val="24"/>
          <w:szCs w:val="24"/>
        </w:rPr>
        <w:t xml:space="preserve"> historical data</w:t>
      </w:r>
      <w:r w:rsidRPr="007C6423">
        <w:rPr>
          <w:rFonts w:ascii="Times New Roman" w:eastAsia="Times New Roman" w:hAnsi="Times New Roman" w:cs="Times New Roman"/>
          <w:sz w:val="24"/>
          <w:szCs w:val="24"/>
        </w:rPr>
        <w:t xml:space="preserve">. </w:t>
      </w:r>
      <w:hyperlink r:id="rId14">
        <w:r w:rsidRPr="007C6423">
          <w:rPr>
            <w:rStyle w:val="Hyperlink"/>
            <w:rFonts w:ascii="Times New Roman" w:eastAsia="Times New Roman" w:hAnsi="Times New Roman" w:cs="Times New Roman"/>
            <w:sz w:val="24"/>
            <w:szCs w:val="24"/>
          </w:rPr>
          <w:t>https://www.kaggle.com</w:t>
        </w:r>
      </w:hyperlink>
    </w:p>
    <w:p w14:paraId="7D2BEE9A" w14:textId="77777777" w:rsidR="003301C0" w:rsidRPr="007C6423" w:rsidRDefault="003301C0" w:rsidP="003301C0">
      <w:pPr>
        <w:spacing w:before="240" w:after="240"/>
        <w:jc w:val="both"/>
        <w:rPr>
          <w:rFonts w:ascii="Times New Roman" w:hAnsi="Times New Roman" w:cs="Times New Roman"/>
          <w:sz w:val="24"/>
          <w:szCs w:val="24"/>
        </w:rPr>
      </w:pPr>
      <w:r w:rsidRPr="007C6423">
        <w:rPr>
          <w:rFonts w:ascii="Times New Roman" w:eastAsia="Times New Roman" w:hAnsi="Times New Roman" w:cs="Times New Roman"/>
          <w:sz w:val="24"/>
          <w:szCs w:val="24"/>
        </w:rPr>
        <w:t xml:space="preserve">Yahoo Finance. (2026). </w:t>
      </w:r>
      <w:r w:rsidRPr="007C6423">
        <w:rPr>
          <w:rFonts w:ascii="Times New Roman" w:eastAsia="Times New Roman" w:hAnsi="Times New Roman" w:cs="Times New Roman"/>
          <w:i/>
          <w:iCs/>
          <w:sz w:val="24"/>
          <w:szCs w:val="24"/>
        </w:rPr>
        <w:t>Gold futures historical data (GC=F)</w:t>
      </w:r>
      <w:r w:rsidRPr="007C6423">
        <w:rPr>
          <w:rFonts w:ascii="Times New Roman" w:eastAsia="Times New Roman" w:hAnsi="Times New Roman" w:cs="Times New Roman"/>
          <w:sz w:val="24"/>
          <w:szCs w:val="24"/>
        </w:rPr>
        <w:t xml:space="preserve">. </w:t>
      </w:r>
      <w:hyperlink r:id="rId15">
        <w:r w:rsidRPr="007C6423">
          <w:rPr>
            <w:rStyle w:val="Hyperlink"/>
            <w:rFonts w:ascii="Times New Roman" w:eastAsia="Times New Roman" w:hAnsi="Times New Roman" w:cs="Times New Roman"/>
            <w:sz w:val="24"/>
            <w:szCs w:val="24"/>
          </w:rPr>
          <w:t>https://finance.yahoo.com</w:t>
        </w:r>
      </w:hyperlink>
    </w:p>
    <w:p w14:paraId="196D8C66" w14:textId="77777777" w:rsidR="003301C0" w:rsidRPr="007C6423" w:rsidRDefault="003301C0" w:rsidP="003301C0">
      <w:pPr>
        <w:jc w:val="both"/>
        <w:rPr>
          <w:rFonts w:ascii="Times New Roman" w:hAnsi="Times New Roman" w:cs="Times New Roman"/>
        </w:rPr>
        <w:sectPr w:rsidR="003301C0" w:rsidRPr="007C6423" w:rsidSect="003301C0">
          <w:headerReference w:type="default" r:id="rId16"/>
          <w:footerReference w:type="default" r:id="rId17"/>
          <w:pgSz w:w="12240" w:h="15840"/>
          <w:pgMar w:top="1440" w:right="1440" w:bottom="1440" w:left="1440" w:header="709" w:footer="709" w:gutter="0"/>
          <w:cols w:space="720"/>
          <w:docGrid w:linePitch="360"/>
        </w:sectPr>
      </w:pPr>
    </w:p>
    <w:p w14:paraId="1AAFE1AD" w14:textId="77777777" w:rsidR="003301C0" w:rsidRPr="007C6423" w:rsidRDefault="003301C0" w:rsidP="003301C0">
      <w:pPr>
        <w:spacing w:before="2400" w:after="480"/>
        <w:jc w:val="both"/>
        <w:rPr>
          <w:rFonts w:ascii="Times New Roman" w:hAnsi="Times New Roman" w:cs="Times New Roman"/>
          <w:sz w:val="52"/>
          <w:szCs w:val="52"/>
        </w:rPr>
      </w:pPr>
      <w:r w:rsidRPr="007C6423">
        <w:rPr>
          <w:rFonts w:ascii="Times New Roman" w:hAnsi="Times New Roman" w:cs="Times New Roman"/>
          <w:b/>
          <w:bCs/>
          <w:color w:val="B8900A"/>
          <w:sz w:val="52"/>
          <w:szCs w:val="52"/>
        </w:rPr>
        <w:lastRenderedPageBreak/>
        <w:t>Addendum A</w:t>
      </w:r>
    </w:p>
    <w:p w14:paraId="68715B4C" w14:textId="77777777" w:rsidR="003301C0" w:rsidRPr="007C6423" w:rsidRDefault="003301C0" w:rsidP="003301C0">
      <w:pPr>
        <w:pBdr>
          <w:bottom w:val="single" w:sz="6" w:space="4" w:color="B8900A"/>
        </w:pBdr>
        <w:spacing w:after="240"/>
        <w:jc w:val="both"/>
        <w:rPr>
          <w:rFonts w:ascii="Times New Roman" w:hAnsi="Times New Roman" w:cs="Times New Roman"/>
          <w:sz w:val="40"/>
          <w:szCs w:val="40"/>
        </w:rPr>
      </w:pPr>
      <w:r w:rsidRPr="007C6423">
        <w:rPr>
          <w:rFonts w:ascii="Times New Roman" w:hAnsi="Times New Roman" w:cs="Times New Roman"/>
          <w:b/>
          <w:bCs/>
          <w:color w:val="1F3864"/>
          <w:sz w:val="40"/>
          <w:szCs w:val="40"/>
        </w:rPr>
        <w:t>Design Document</w:t>
      </w:r>
    </w:p>
    <w:p w14:paraId="5FC86E50" w14:textId="77777777" w:rsidR="003301C0" w:rsidRPr="007C6423" w:rsidRDefault="003301C0" w:rsidP="003301C0">
      <w:pPr>
        <w:spacing w:before="60" w:after="60"/>
        <w:jc w:val="both"/>
        <w:rPr>
          <w:rFonts w:ascii="Times New Roman" w:hAnsi="Times New Roman" w:cs="Times New Roman"/>
        </w:rPr>
      </w:pPr>
    </w:p>
    <w:p w14:paraId="273CEEFF" w14:textId="77777777" w:rsidR="003301C0" w:rsidRPr="007C6423" w:rsidRDefault="003301C0" w:rsidP="003301C0">
      <w:pPr>
        <w:spacing w:before="60" w:after="60"/>
        <w:jc w:val="both"/>
        <w:rPr>
          <w:rFonts w:ascii="Times New Roman" w:hAnsi="Times New Roman" w:cs="Times New Roman"/>
        </w:rPr>
      </w:pPr>
    </w:p>
    <w:p w14:paraId="67A970BF"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555555"/>
          <w:sz w:val="24"/>
          <w:szCs w:val="24"/>
        </w:rPr>
        <w:t>Gold Price Analytics Dashboard</w:t>
      </w:r>
    </w:p>
    <w:p w14:paraId="6A572D7F"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888888"/>
          <w:sz w:val="24"/>
          <w:szCs w:val="24"/>
        </w:rPr>
        <w:t>March 2026</w:t>
      </w:r>
    </w:p>
    <w:p w14:paraId="2D79405F"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1FA7512F"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A1. Overview</w:t>
      </w:r>
    </w:p>
    <w:p w14:paraId="70E2354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addendum covers the technical design decisions behind the Gold Price Analytics Dashboard. It includes the data schema, the exact DAX formulas used for the key metrics, the reasoning behind the model architecture, and the visual design choices. The dashboard was built in Power BI Desktop (March 2026 build) using a single-table fact model with measures defined in a separate Key Metrics table.</w:t>
      </w:r>
    </w:p>
    <w:p w14:paraId="31234115" w14:textId="77777777" w:rsidR="003301C0" w:rsidRPr="007C6423" w:rsidRDefault="003301C0" w:rsidP="003301C0">
      <w:pPr>
        <w:spacing w:before="60" w:after="60"/>
        <w:jc w:val="both"/>
        <w:rPr>
          <w:rFonts w:ascii="Times New Roman" w:hAnsi="Times New Roman" w:cs="Times New Roman"/>
        </w:rPr>
      </w:pPr>
    </w:p>
    <w:p w14:paraId="30849D5E"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t>A2. Data Schema</w:t>
      </w:r>
    </w:p>
    <w:p w14:paraId="6A95F7B6" w14:textId="77777777" w:rsidR="003301C0" w:rsidRPr="007C6423" w:rsidRDefault="003301C0" w:rsidP="003301C0">
      <w:pPr>
        <w:spacing w:before="60" w:after="60"/>
        <w:jc w:val="both"/>
        <w:rPr>
          <w:rFonts w:ascii="Times New Roman" w:hAnsi="Times New Roman" w:cs="Times New Roman"/>
        </w:rPr>
      </w:pPr>
    </w:p>
    <w:p w14:paraId="164CF5C9"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A2.1 Tables and Sources</w:t>
      </w:r>
    </w:p>
    <w:p w14:paraId="217DCC6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data model contains two named tables and one auto-generated date table:</w:t>
      </w:r>
    </w:p>
    <w:p w14:paraId="72166D17" w14:textId="77777777" w:rsidR="003301C0" w:rsidRPr="007C6423" w:rsidRDefault="003301C0" w:rsidP="003301C0">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60"/>
        <w:gridCol w:w="4400"/>
      </w:tblGrid>
      <w:tr w:rsidR="003301C0" w:rsidRPr="007C6423" w14:paraId="67893177" w14:textId="77777777" w:rsidTr="0022653D">
        <w:trPr>
          <w:tblHeader/>
        </w:trPr>
        <w:tc>
          <w:tcPr>
            <w:tcW w:w="24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616412F9"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b/>
                <w:bCs/>
                <w:color w:val="FFFFFF"/>
              </w:rPr>
              <w:t>Table Name</w:t>
            </w:r>
          </w:p>
        </w:tc>
        <w:tc>
          <w:tcPr>
            <w:tcW w:w="256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5738D1D1"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b/>
                <w:bCs/>
                <w:color w:val="FFFFFF"/>
              </w:rPr>
              <w:t>Source</w:t>
            </w:r>
          </w:p>
        </w:tc>
        <w:tc>
          <w:tcPr>
            <w:tcW w:w="44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39D62654"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b/>
                <w:bCs/>
                <w:color w:val="FFFFFF"/>
              </w:rPr>
              <w:t>Description</w:t>
            </w:r>
          </w:p>
        </w:tc>
      </w:tr>
      <w:tr w:rsidR="003301C0" w:rsidRPr="007C6423" w14:paraId="6C462085" w14:textId="77777777" w:rsidTr="002265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3B90FA" w14:textId="77777777" w:rsidR="003301C0" w:rsidRPr="007C6423" w:rsidRDefault="003301C0" w:rsidP="00BE7F74">
            <w:pPr>
              <w:jc w:val="both"/>
              <w:rPr>
                <w:rFonts w:ascii="Times New Roman" w:hAnsi="Times New Roman" w:cs="Times New Roman"/>
              </w:rPr>
            </w:pPr>
            <w:proofErr w:type="spellStart"/>
            <w:r w:rsidRPr="007C6423">
              <w:rPr>
                <w:rFonts w:ascii="Times New Roman" w:hAnsi="Times New Roman" w:cs="Times New Roman"/>
              </w:rPr>
              <w:t>gold_historical_data</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358C21"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Kaggle Dataset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DA881"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Primary fact table. Contains daily OHLCV data for gold.</w:t>
            </w:r>
          </w:p>
        </w:tc>
      </w:tr>
      <w:tr w:rsidR="003301C0" w:rsidRPr="007C6423" w14:paraId="2C305E6F" w14:textId="77777777" w:rsidTr="0022653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95A8F57"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Key Metrics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39F492"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Power BI (DAX)</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68311A"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Measures-only table containing all calculated metrics. No raw data rows.</w:t>
            </w:r>
          </w:p>
        </w:tc>
      </w:tr>
      <w:tr w:rsidR="003301C0" w:rsidRPr="007C6423" w14:paraId="61278CDA" w14:textId="77777777" w:rsidTr="002265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A38456" w14:textId="77777777" w:rsidR="003301C0" w:rsidRPr="007C6423" w:rsidRDefault="003301C0" w:rsidP="00BE7F74">
            <w:pPr>
              <w:jc w:val="both"/>
              <w:rPr>
                <w:rFonts w:ascii="Times New Roman" w:hAnsi="Times New Roman" w:cs="Times New Roman"/>
              </w:rPr>
            </w:pPr>
            <w:proofErr w:type="spellStart"/>
            <w:r w:rsidRPr="007C6423">
              <w:rPr>
                <w:rFonts w:ascii="Times New Roman" w:hAnsi="Times New Roman" w:cs="Times New Roman"/>
              </w:rPr>
              <w:t>LocalDateTable</w:t>
            </w:r>
            <w:proofErr w:type="spellEnd"/>
            <w:r w:rsidRPr="007C6423">
              <w:rPr>
                <w:rFonts w:ascii="Times New Roman" w:hAnsi="Times New Roman" w:cs="Times New Roman"/>
              </w:rPr>
              <w:t xml:space="preserve"> (auto)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18BC65"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Power BI (auto)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0050C7"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 xml:space="preserve">Internal date table </w:t>
            </w:r>
            <w:proofErr w:type="gramStart"/>
            <w:r w:rsidRPr="007C6423">
              <w:rPr>
                <w:rFonts w:ascii="Times New Roman" w:hAnsi="Times New Roman" w:cs="Times New Roman"/>
              </w:rPr>
              <w:t>auto-generated</w:t>
            </w:r>
            <w:proofErr w:type="gramEnd"/>
            <w:r w:rsidRPr="007C6423">
              <w:rPr>
                <w:rFonts w:ascii="Times New Roman" w:hAnsi="Times New Roman" w:cs="Times New Roman"/>
              </w:rPr>
              <w:t xml:space="preserve"> by Power BI. Provides Year/Quarter/Month/Day hierarchy.</w:t>
            </w:r>
          </w:p>
        </w:tc>
      </w:tr>
    </w:tbl>
    <w:p w14:paraId="455367A1" w14:textId="77777777" w:rsidR="003301C0" w:rsidRPr="007C6423" w:rsidRDefault="003301C0" w:rsidP="003301C0">
      <w:pPr>
        <w:spacing w:before="60" w:after="60"/>
        <w:jc w:val="both"/>
        <w:rPr>
          <w:rFonts w:ascii="Times New Roman" w:hAnsi="Times New Roman" w:cs="Times New Roman"/>
        </w:rPr>
      </w:pPr>
    </w:p>
    <w:p w14:paraId="2BBB7391"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 xml:space="preserve">A2.2 Columns in </w:t>
      </w:r>
      <w:proofErr w:type="spellStart"/>
      <w:r w:rsidRPr="007C6423">
        <w:rPr>
          <w:rFonts w:ascii="Times New Roman" w:hAnsi="Times New Roman" w:cs="Times New Roman"/>
          <w:b/>
          <w:bCs/>
          <w:color w:val="B8900A"/>
          <w:sz w:val="24"/>
          <w:szCs w:val="24"/>
        </w:rPr>
        <w:t>gold_historical_data</w:t>
      </w:r>
      <w:proofErr w:type="spellEnd"/>
    </w:p>
    <w:p w14:paraId="514D409D" w14:textId="77777777" w:rsidR="003301C0" w:rsidRPr="007C6423" w:rsidRDefault="003301C0" w:rsidP="003301C0">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3301C0" w:rsidRPr="007C6423" w14:paraId="67401C11" w14:textId="77777777" w:rsidTr="0022653D">
        <w:trPr>
          <w:tblHeader/>
        </w:trPr>
        <w:tc>
          <w:tcPr>
            <w:tcW w:w="20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1BB4B70E"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b/>
                <w:bCs/>
                <w:color w:val="FFFFFF"/>
              </w:rPr>
              <w:t>Column Name</w:t>
            </w:r>
          </w:p>
        </w:tc>
        <w:tc>
          <w:tcPr>
            <w:tcW w:w="18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7EDF5CC3"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b/>
                <w:bCs/>
                <w:color w:val="FFFFFF"/>
              </w:rPr>
              <w:t>Data Type</w:t>
            </w:r>
          </w:p>
        </w:tc>
        <w:tc>
          <w:tcPr>
            <w:tcW w:w="556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59F6AC62"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b/>
                <w:bCs/>
                <w:color w:val="FFFFFF"/>
              </w:rPr>
              <w:t>Notes</w:t>
            </w:r>
          </w:p>
        </w:tc>
      </w:tr>
      <w:tr w:rsidR="003301C0" w:rsidRPr="007C6423" w14:paraId="7E274863" w14:textId="77777777" w:rsidTr="002265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81AAAB"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7D2A95"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Date/Time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D73C0C"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 xml:space="preserve">Primary date key. Power BI auto-generates a </w:t>
            </w:r>
            <w:proofErr w:type="spellStart"/>
            <w:r w:rsidRPr="007C6423">
              <w:rPr>
                <w:rFonts w:ascii="Times New Roman" w:hAnsi="Times New Roman" w:cs="Times New Roman"/>
              </w:rPr>
              <w:t>LocalDateTable</w:t>
            </w:r>
            <w:proofErr w:type="spellEnd"/>
            <w:r w:rsidRPr="007C6423">
              <w:rPr>
                <w:rFonts w:ascii="Times New Roman" w:hAnsi="Times New Roman" w:cs="Times New Roman"/>
              </w:rPr>
              <w:t xml:space="preserve"> from this column.</w:t>
            </w:r>
          </w:p>
        </w:tc>
      </w:tr>
      <w:tr w:rsidR="003301C0" w:rsidRPr="007C6423" w14:paraId="32C59F70" w14:textId="77777777" w:rsidTr="0022653D">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410E85D"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Open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7AF0EED"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Decimal</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1DC7D73"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Opening price for the trading day (USD per troy ounce).</w:t>
            </w:r>
          </w:p>
        </w:tc>
      </w:tr>
      <w:tr w:rsidR="003301C0" w:rsidRPr="007C6423" w14:paraId="56BF0B83" w14:textId="77777777" w:rsidTr="002265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824C80"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BDA8E9"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Decimal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05C763"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Intraday highest price. Used in the KPI card (Max of High).</w:t>
            </w:r>
          </w:p>
        </w:tc>
      </w:tr>
      <w:tr w:rsidR="003301C0" w:rsidRPr="007C6423" w14:paraId="20038E2A" w14:textId="77777777" w:rsidTr="0022653D">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2985AA"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F9CC3C"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Decimal</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B1CEED6"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Intraday lowest price. Used in the KPI card (Min of Low).</w:t>
            </w:r>
          </w:p>
        </w:tc>
      </w:tr>
      <w:tr w:rsidR="003301C0" w:rsidRPr="007C6423" w14:paraId="7C4E7CF7" w14:textId="77777777" w:rsidTr="002265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71B5DA"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Close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5A48CE"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Decimal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A7F428"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Closing price. Primary metric for the moving average and YoY calculations.</w:t>
            </w:r>
          </w:p>
        </w:tc>
      </w:tr>
      <w:tr w:rsidR="003301C0" w:rsidRPr="007C6423" w14:paraId="08D8CC36" w14:textId="77777777" w:rsidTr="0022653D">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A1D1926"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Volume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5AA596"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Whole Number</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58F6314"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Total trading volume for the day. Shown in the matrix visual.</w:t>
            </w:r>
          </w:p>
        </w:tc>
      </w:tr>
      <w:tr w:rsidR="003301C0" w:rsidRPr="007C6423" w14:paraId="554560F0" w14:textId="77777777" w:rsidTr="002265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1EF436"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8B5EC2"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Whole Number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BF1997" w14:textId="77777777" w:rsidR="003301C0" w:rsidRPr="007C6423" w:rsidRDefault="003301C0" w:rsidP="00BE7F74">
            <w:pPr>
              <w:jc w:val="both"/>
              <w:rPr>
                <w:rFonts w:ascii="Times New Roman" w:hAnsi="Times New Roman" w:cs="Times New Roman"/>
              </w:rPr>
            </w:pPr>
            <w:r w:rsidRPr="007C6423">
              <w:rPr>
                <w:rFonts w:ascii="Times New Roman" w:hAnsi="Times New Roman" w:cs="Times New Roman"/>
              </w:rPr>
              <w:t>Calculated column extracted from Date. Drives the Year slicer and the YoY measure.</w:t>
            </w:r>
          </w:p>
        </w:tc>
      </w:tr>
    </w:tbl>
    <w:p w14:paraId="08B4ADDD"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lastRenderedPageBreak/>
        <w:t>A2.3 Model View Description</w:t>
      </w:r>
    </w:p>
    <w:p w14:paraId="167E9B8E"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Because the model follows the Direct-Logic approach, there are no relationship lines between a separate Calendar table and the fact table. The only relationship in the model is the hidden one that Power BI creates automatically between the </w:t>
      </w:r>
      <w:proofErr w:type="spellStart"/>
      <w:r w:rsidRPr="007C6423">
        <w:rPr>
          <w:rFonts w:ascii="Times New Roman" w:hAnsi="Times New Roman" w:cs="Times New Roman"/>
          <w:sz w:val="24"/>
          <w:szCs w:val="24"/>
        </w:rPr>
        <w:t>LocalDateTable</w:t>
      </w:r>
      <w:proofErr w:type="spellEnd"/>
      <w:r w:rsidRPr="007C6423">
        <w:rPr>
          <w:rFonts w:ascii="Times New Roman" w:hAnsi="Times New Roman" w:cs="Times New Roman"/>
          <w:sz w:val="24"/>
          <w:szCs w:val="24"/>
        </w:rPr>
        <w:t xml:space="preserve"> and the Date column of </w:t>
      </w:r>
      <w:proofErr w:type="spellStart"/>
      <w:r w:rsidRPr="007C6423">
        <w:rPr>
          <w:rFonts w:ascii="Times New Roman" w:hAnsi="Times New Roman" w:cs="Times New Roman"/>
          <w:sz w:val="24"/>
          <w:szCs w:val="24"/>
        </w:rPr>
        <w:t>gold_historical_data</w:t>
      </w:r>
      <w:proofErr w:type="spellEnd"/>
      <w:r w:rsidRPr="007C6423">
        <w:rPr>
          <w:rFonts w:ascii="Times New Roman" w:hAnsi="Times New Roman" w:cs="Times New Roman"/>
          <w:sz w:val="24"/>
          <w:szCs w:val="24"/>
        </w:rPr>
        <w:t xml:space="preserve">. The Key Metrics table is a floating measures table with no physical relationship to </w:t>
      </w:r>
      <w:proofErr w:type="spellStart"/>
      <w:r w:rsidRPr="007C6423">
        <w:rPr>
          <w:rFonts w:ascii="Times New Roman" w:hAnsi="Times New Roman" w:cs="Times New Roman"/>
          <w:sz w:val="24"/>
          <w:szCs w:val="24"/>
        </w:rPr>
        <w:t>gold_historical_data</w:t>
      </w:r>
      <w:proofErr w:type="spellEnd"/>
      <w:r w:rsidRPr="007C6423">
        <w:rPr>
          <w:rFonts w:ascii="Times New Roman" w:hAnsi="Times New Roman" w:cs="Times New Roman"/>
          <w:sz w:val="24"/>
          <w:szCs w:val="24"/>
        </w:rPr>
        <w:t>; the DAX measures reference the fact table directly using CALCULATE and DATESINPERIOD.</w:t>
      </w:r>
    </w:p>
    <w:p w14:paraId="122246C5" w14:textId="77777777" w:rsidR="003301C0" w:rsidRPr="007C6423" w:rsidRDefault="003301C0" w:rsidP="003301C0">
      <w:pPr>
        <w:spacing w:before="60" w:after="60"/>
        <w:jc w:val="both"/>
        <w:rPr>
          <w:rFonts w:ascii="Times New Roman" w:hAnsi="Times New Roman" w:cs="Times New Roman"/>
        </w:rPr>
      </w:pPr>
    </w:p>
    <w:p w14:paraId="48019F2D"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A2.4 Yahoo Finance Validation Set</w:t>
      </w:r>
    </w:p>
    <w:p w14:paraId="0144504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 secondary dataset sourced from Yahoo Finance was used to validate the closing price values in the Kaggle dataset. The Yahoo Finance data was pulled for the gold futures ticker (GC=F) covering the same date range. The two sources were compared on a daily Close price basis. Any dates where the two values differed by more than 0.5% were flagged for review. The validation confirmed that the Kaggle dataset was accurate and the Yahoo Finance table was not loaded into the production data model.</w:t>
      </w:r>
    </w:p>
    <w:p w14:paraId="34C764FE" w14:textId="77777777" w:rsidR="003301C0" w:rsidRPr="007C6423" w:rsidRDefault="003301C0" w:rsidP="003301C0">
      <w:pPr>
        <w:spacing w:before="60" w:after="60"/>
        <w:jc w:val="both"/>
        <w:rPr>
          <w:rFonts w:ascii="Times New Roman" w:hAnsi="Times New Roman" w:cs="Times New Roman"/>
        </w:rPr>
      </w:pPr>
    </w:p>
    <w:p w14:paraId="607A3186"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4ACAD16F"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A3. DAX Library</w:t>
      </w:r>
    </w:p>
    <w:p w14:paraId="61D17932" w14:textId="77777777" w:rsidR="003301C0" w:rsidRPr="007C6423" w:rsidRDefault="003301C0" w:rsidP="003301C0">
      <w:pPr>
        <w:spacing w:before="60" w:after="60"/>
        <w:jc w:val="both"/>
        <w:rPr>
          <w:rFonts w:ascii="Times New Roman" w:hAnsi="Times New Roman" w:cs="Times New Roman"/>
        </w:rPr>
      </w:pPr>
    </w:p>
    <w:p w14:paraId="3C23664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All three measures below are stored in the Key Metrics table. They reference columns from the </w:t>
      </w:r>
      <w:proofErr w:type="spellStart"/>
      <w:r w:rsidRPr="007C6423">
        <w:rPr>
          <w:rFonts w:ascii="Times New Roman" w:hAnsi="Times New Roman" w:cs="Times New Roman"/>
          <w:sz w:val="24"/>
          <w:szCs w:val="24"/>
        </w:rPr>
        <w:t>gold_historical_data</w:t>
      </w:r>
      <w:proofErr w:type="spellEnd"/>
      <w:r w:rsidRPr="007C6423">
        <w:rPr>
          <w:rFonts w:ascii="Times New Roman" w:hAnsi="Times New Roman" w:cs="Times New Roman"/>
          <w:sz w:val="24"/>
          <w:szCs w:val="24"/>
        </w:rPr>
        <w:t xml:space="preserve"> table.</w:t>
      </w:r>
    </w:p>
    <w:p w14:paraId="3516A574" w14:textId="77777777" w:rsidR="003301C0" w:rsidRPr="007C6423" w:rsidRDefault="003301C0" w:rsidP="003301C0">
      <w:pPr>
        <w:spacing w:before="60" w:after="60"/>
        <w:jc w:val="both"/>
        <w:rPr>
          <w:rFonts w:ascii="Times New Roman" w:hAnsi="Times New Roman" w:cs="Times New Roman"/>
        </w:rPr>
      </w:pPr>
    </w:p>
    <w:p w14:paraId="40D624D0"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A3.1 30-Day Moving Average</w:t>
      </w:r>
    </w:p>
    <w:p w14:paraId="724F18F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measure calculates the average closing price over a rolling 30-calendar-day window ending on the last date in the current filter context.</w:t>
      </w:r>
    </w:p>
    <w:p w14:paraId="5F7D16DD" w14:textId="77777777" w:rsidR="003301C0" w:rsidRPr="007C6423" w:rsidRDefault="003301C0" w:rsidP="003301C0">
      <w:pPr>
        <w:spacing w:before="60" w:after="60"/>
        <w:jc w:val="both"/>
        <w:rPr>
          <w:rFonts w:ascii="Times New Roman" w:hAnsi="Times New Roman" w:cs="Times New Roman"/>
        </w:rPr>
      </w:pPr>
    </w:p>
    <w:p w14:paraId="5CE30E66"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30-Day Moving Avg = </w:t>
      </w:r>
    </w:p>
    <w:p w14:paraId="0DAC5166"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VAR </w:t>
      </w:r>
      <w:proofErr w:type="spellStart"/>
      <w:r w:rsidRPr="007C6423">
        <w:rPr>
          <w:rFonts w:ascii="Times New Roman" w:eastAsia="Courier New" w:hAnsi="Times New Roman" w:cs="Times New Roman"/>
          <w:sz w:val="24"/>
          <w:szCs w:val="24"/>
        </w:rPr>
        <w:t>CurrentDate</w:t>
      </w:r>
      <w:proofErr w:type="spellEnd"/>
      <w:r w:rsidRPr="007C6423">
        <w:rPr>
          <w:rFonts w:ascii="Times New Roman" w:eastAsia="Courier New" w:hAnsi="Times New Roman" w:cs="Times New Roman"/>
          <w:sz w:val="24"/>
          <w:szCs w:val="24"/>
        </w:rPr>
        <w:t xml:space="preserve"> = </w:t>
      </w:r>
      <w:proofErr w:type="gramStart"/>
      <w:r w:rsidRPr="007C6423">
        <w:rPr>
          <w:rFonts w:ascii="Times New Roman" w:eastAsia="Courier New" w:hAnsi="Times New Roman" w:cs="Times New Roman"/>
          <w:sz w:val="24"/>
          <w:szCs w:val="24"/>
        </w:rPr>
        <w:t>MAX(</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Date])</w:t>
      </w:r>
    </w:p>
    <w:p w14:paraId="26BB7093"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VAR </w:t>
      </w:r>
      <w:proofErr w:type="spellStart"/>
      <w:r w:rsidRPr="007C6423">
        <w:rPr>
          <w:rFonts w:ascii="Times New Roman" w:eastAsia="Courier New" w:hAnsi="Times New Roman" w:cs="Times New Roman"/>
          <w:sz w:val="24"/>
          <w:szCs w:val="24"/>
        </w:rPr>
        <w:t>WindowStart</w:t>
      </w:r>
      <w:proofErr w:type="spellEnd"/>
      <w:r w:rsidRPr="007C6423">
        <w:rPr>
          <w:rFonts w:ascii="Times New Roman" w:eastAsia="Courier New" w:hAnsi="Times New Roman" w:cs="Times New Roman"/>
          <w:sz w:val="24"/>
          <w:szCs w:val="24"/>
        </w:rPr>
        <w:t xml:space="preserve"> = </w:t>
      </w:r>
      <w:proofErr w:type="spellStart"/>
      <w:r w:rsidRPr="007C6423">
        <w:rPr>
          <w:rFonts w:ascii="Times New Roman" w:eastAsia="Courier New" w:hAnsi="Times New Roman" w:cs="Times New Roman"/>
          <w:sz w:val="24"/>
          <w:szCs w:val="24"/>
        </w:rPr>
        <w:t>CurrentDate</w:t>
      </w:r>
      <w:proofErr w:type="spellEnd"/>
      <w:r w:rsidRPr="007C6423">
        <w:rPr>
          <w:rFonts w:ascii="Times New Roman" w:eastAsia="Courier New" w:hAnsi="Times New Roman" w:cs="Times New Roman"/>
          <w:sz w:val="24"/>
          <w:szCs w:val="24"/>
        </w:rPr>
        <w:t xml:space="preserve"> - 29</w:t>
      </w:r>
    </w:p>
    <w:p w14:paraId="7FDA8BEB"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RETURN</w:t>
      </w:r>
    </w:p>
    <w:p w14:paraId="7E36B260"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proofErr w:type="gramStart"/>
      <w:r w:rsidRPr="007C6423">
        <w:rPr>
          <w:rFonts w:ascii="Times New Roman" w:eastAsia="Courier New" w:hAnsi="Times New Roman" w:cs="Times New Roman"/>
          <w:sz w:val="24"/>
          <w:szCs w:val="24"/>
        </w:rPr>
        <w:t>IF(</w:t>
      </w:r>
      <w:proofErr w:type="gramEnd"/>
    </w:p>
    <w:p w14:paraId="1365FE65"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ISBLANK(</w:t>
      </w:r>
      <w:proofErr w:type="spellStart"/>
      <w:r w:rsidRPr="007C6423">
        <w:rPr>
          <w:rFonts w:ascii="Times New Roman" w:eastAsia="Courier New" w:hAnsi="Times New Roman" w:cs="Times New Roman"/>
          <w:sz w:val="24"/>
          <w:szCs w:val="24"/>
        </w:rPr>
        <w:t>CurrentDate</w:t>
      </w:r>
      <w:proofErr w:type="spellEnd"/>
      <w:r w:rsidRPr="007C6423">
        <w:rPr>
          <w:rFonts w:ascii="Times New Roman" w:eastAsia="Courier New" w:hAnsi="Times New Roman" w:cs="Times New Roman"/>
          <w:sz w:val="24"/>
          <w:szCs w:val="24"/>
        </w:rPr>
        <w:t>),</w:t>
      </w:r>
    </w:p>
    <w:p w14:paraId="4ADD235C"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BLANK(</w:t>
      </w:r>
      <w:proofErr w:type="gramEnd"/>
      <w:r w:rsidRPr="007C6423">
        <w:rPr>
          <w:rFonts w:ascii="Times New Roman" w:eastAsia="Courier New" w:hAnsi="Times New Roman" w:cs="Times New Roman"/>
          <w:sz w:val="24"/>
          <w:szCs w:val="24"/>
        </w:rPr>
        <w:t>),</w:t>
      </w:r>
    </w:p>
    <w:p w14:paraId="20A262E1"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CALCULATE(</w:t>
      </w:r>
      <w:proofErr w:type="gramEnd"/>
    </w:p>
    <w:p w14:paraId="10B81F24"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AVERAGE(</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Close]),</w:t>
      </w:r>
    </w:p>
    <w:p w14:paraId="028F73E9"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FILTER(</w:t>
      </w:r>
      <w:proofErr w:type="gramEnd"/>
    </w:p>
    <w:p w14:paraId="545E5E3A"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ALL(</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Date]),</w:t>
      </w:r>
    </w:p>
    <w:p w14:paraId="4351B3D6"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spellStart"/>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 xml:space="preserve">Date] &gt;= </w:t>
      </w:r>
      <w:proofErr w:type="spellStart"/>
      <w:r w:rsidRPr="007C6423">
        <w:rPr>
          <w:rFonts w:ascii="Times New Roman" w:eastAsia="Courier New" w:hAnsi="Times New Roman" w:cs="Times New Roman"/>
          <w:sz w:val="24"/>
          <w:szCs w:val="24"/>
        </w:rPr>
        <w:t>WindowStart</w:t>
      </w:r>
      <w:proofErr w:type="spellEnd"/>
      <w:r w:rsidRPr="007C6423">
        <w:rPr>
          <w:rFonts w:ascii="Times New Roman" w:eastAsia="Courier New" w:hAnsi="Times New Roman" w:cs="Times New Roman"/>
          <w:sz w:val="24"/>
          <w:szCs w:val="24"/>
        </w:rPr>
        <w:t xml:space="preserve"> &amp;&amp;</w:t>
      </w:r>
    </w:p>
    <w:p w14:paraId="306CDE47"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spellStart"/>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 xml:space="preserve">Date] &lt;= </w:t>
      </w:r>
      <w:proofErr w:type="spellStart"/>
      <w:r w:rsidRPr="007C6423">
        <w:rPr>
          <w:rFonts w:ascii="Times New Roman" w:eastAsia="Courier New" w:hAnsi="Times New Roman" w:cs="Times New Roman"/>
          <w:sz w:val="24"/>
          <w:szCs w:val="24"/>
        </w:rPr>
        <w:t>CurrentDate</w:t>
      </w:r>
      <w:proofErr w:type="spellEnd"/>
    </w:p>
    <w:p w14:paraId="5B9812D9"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
    <w:p w14:paraId="7417EC7D"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
    <w:p w14:paraId="54D8798F"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w:t>
      </w:r>
    </w:p>
    <w:p w14:paraId="0FBC506C" w14:textId="77777777" w:rsidR="003301C0" w:rsidRPr="007C6423" w:rsidRDefault="003301C0" w:rsidP="003301C0">
      <w:pPr>
        <w:spacing w:before="60" w:after="60"/>
        <w:jc w:val="both"/>
        <w:rPr>
          <w:rFonts w:ascii="Times New Roman" w:hAnsi="Times New Roman" w:cs="Times New Roman"/>
        </w:rPr>
      </w:pPr>
    </w:p>
    <w:p w14:paraId="4666012C"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A3.2 YoY % Price Change</w:t>
      </w:r>
    </w:p>
    <w:p w14:paraId="5247C8D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measure computes the year-over-year percentage change in the average closing price.</w:t>
      </w:r>
    </w:p>
    <w:p w14:paraId="26F050AC" w14:textId="77777777" w:rsidR="003301C0" w:rsidRPr="007C6423" w:rsidRDefault="003301C0" w:rsidP="003301C0">
      <w:pPr>
        <w:spacing w:before="60" w:after="60"/>
        <w:jc w:val="both"/>
        <w:rPr>
          <w:rFonts w:ascii="Times New Roman" w:hAnsi="Times New Roman" w:cs="Times New Roman"/>
          <w:sz w:val="24"/>
          <w:szCs w:val="24"/>
        </w:rPr>
      </w:pPr>
    </w:p>
    <w:p w14:paraId="6C53A049"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YoY % Price Change = </w:t>
      </w:r>
    </w:p>
    <w:p w14:paraId="5F390D80"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VAR </w:t>
      </w:r>
      <w:proofErr w:type="spellStart"/>
      <w:r w:rsidRPr="007C6423">
        <w:rPr>
          <w:rFonts w:ascii="Times New Roman" w:eastAsia="Courier New" w:hAnsi="Times New Roman" w:cs="Times New Roman"/>
          <w:sz w:val="24"/>
          <w:szCs w:val="24"/>
        </w:rPr>
        <w:t>CurrentYear</w:t>
      </w:r>
      <w:proofErr w:type="spellEnd"/>
      <w:r w:rsidRPr="007C6423">
        <w:rPr>
          <w:rFonts w:ascii="Times New Roman" w:eastAsia="Courier New" w:hAnsi="Times New Roman" w:cs="Times New Roman"/>
          <w:sz w:val="24"/>
          <w:szCs w:val="24"/>
        </w:rPr>
        <w:t xml:space="preserve"> = </w:t>
      </w:r>
      <w:proofErr w:type="gramStart"/>
      <w:r w:rsidRPr="007C6423">
        <w:rPr>
          <w:rFonts w:ascii="Times New Roman" w:eastAsia="Courier New" w:hAnsi="Times New Roman" w:cs="Times New Roman"/>
          <w:sz w:val="24"/>
          <w:szCs w:val="24"/>
        </w:rPr>
        <w:t>MAX(</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Year])</w:t>
      </w:r>
    </w:p>
    <w:p w14:paraId="2AC7C071"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VAR CurrentPrice = </w:t>
      </w:r>
      <w:proofErr w:type="gramStart"/>
      <w:r w:rsidRPr="007C6423">
        <w:rPr>
          <w:rFonts w:ascii="Times New Roman" w:eastAsia="Courier New" w:hAnsi="Times New Roman" w:cs="Times New Roman"/>
          <w:sz w:val="24"/>
          <w:szCs w:val="24"/>
        </w:rPr>
        <w:t>CALCULATE(</w:t>
      </w:r>
      <w:proofErr w:type="gramEnd"/>
    </w:p>
    <w:p w14:paraId="4C2E79D4"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AVERAGE(</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Close]),</w:t>
      </w:r>
    </w:p>
    <w:p w14:paraId="2E049E7F"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spellStart"/>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 xml:space="preserve">Year] = </w:t>
      </w:r>
      <w:proofErr w:type="spellStart"/>
      <w:r w:rsidRPr="007C6423">
        <w:rPr>
          <w:rFonts w:ascii="Times New Roman" w:eastAsia="Courier New" w:hAnsi="Times New Roman" w:cs="Times New Roman"/>
          <w:sz w:val="24"/>
          <w:szCs w:val="24"/>
        </w:rPr>
        <w:t>CurrentYear</w:t>
      </w:r>
      <w:proofErr w:type="spellEnd"/>
    </w:p>
    <w:p w14:paraId="024137DF"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w:t>
      </w:r>
    </w:p>
    <w:p w14:paraId="1B090F4D"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VAR </w:t>
      </w:r>
      <w:proofErr w:type="spellStart"/>
      <w:r w:rsidRPr="007C6423">
        <w:rPr>
          <w:rFonts w:ascii="Times New Roman" w:eastAsia="Courier New" w:hAnsi="Times New Roman" w:cs="Times New Roman"/>
          <w:sz w:val="24"/>
          <w:szCs w:val="24"/>
        </w:rPr>
        <w:t>PriorPrice</w:t>
      </w:r>
      <w:proofErr w:type="spellEnd"/>
      <w:r w:rsidRPr="007C6423">
        <w:rPr>
          <w:rFonts w:ascii="Times New Roman" w:eastAsia="Courier New" w:hAnsi="Times New Roman" w:cs="Times New Roman"/>
          <w:sz w:val="24"/>
          <w:szCs w:val="24"/>
        </w:rPr>
        <w:t xml:space="preserve"> = </w:t>
      </w:r>
      <w:proofErr w:type="gramStart"/>
      <w:r w:rsidRPr="007C6423">
        <w:rPr>
          <w:rFonts w:ascii="Times New Roman" w:eastAsia="Courier New" w:hAnsi="Times New Roman" w:cs="Times New Roman"/>
          <w:sz w:val="24"/>
          <w:szCs w:val="24"/>
        </w:rPr>
        <w:t>CALCULATE(</w:t>
      </w:r>
      <w:proofErr w:type="gramEnd"/>
    </w:p>
    <w:p w14:paraId="459CB3AC"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AVERAGE(</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Close]),</w:t>
      </w:r>
    </w:p>
    <w:p w14:paraId="27A5AEE5"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spellStart"/>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 xml:space="preserve">Year] = </w:t>
      </w:r>
      <w:proofErr w:type="spellStart"/>
      <w:r w:rsidRPr="007C6423">
        <w:rPr>
          <w:rFonts w:ascii="Times New Roman" w:eastAsia="Courier New" w:hAnsi="Times New Roman" w:cs="Times New Roman"/>
          <w:sz w:val="24"/>
          <w:szCs w:val="24"/>
        </w:rPr>
        <w:t>CurrentYear</w:t>
      </w:r>
      <w:proofErr w:type="spellEnd"/>
      <w:r w:rsidRPr="007C6423">
        <w:rPr>
          <w:rFonts w:ascii="Times New Roman" w:eastAsia="Courier New" w:hAnsi="Times New Roman" w:cs="Times New Roman"/>
          <w:sz w:val="24"/>
          <w:szCs w:val="24"/>
        </w:rPr>
        <w:t xml:space="preserve"> - 1</w:t>
      </w:r>
    </w:p>
    <w:p w14:paraId="1A333FC4"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w:t>
      </w:r>
    </w:p>
    <w:p w14:paraId="3B21FB00"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RETURN</w:t>
      </w:r>
    </w:p>
    <w:p w14:paraId="21A6FCB4"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proofErr w:type="gramStart"/>
      <w:r w:rsidRPr="007C6423">
        <w:rPr>
          <w:rFonts w:ascii="Times New Roman" w:eastAsia="Courier New" w:hAnsi="Times New Roman" w:cs="Times New Roman"/>
          <w:sz w:val="24"/>
          <w:szCs w:val="24"/>
        </w:rPr>
        <w:t>IF(</w:t>
      </w:r>
      <w:proofErr w:type="gramEnd"/>
    </w:p>
    <w:p w14:paraId="1E3946BB"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ISBLANK(</w:t>
      </w:r>
      <w:proofErr w:type="spellStart"/>
      <w:r w:rsidRPr="007C6423">
        <w:rPr>
          <w:rFonts w:ascii="Times New Roman" w:eastAsia="Courier New" w:hAnsi="Times New Roman" w:cs="Times New Roman"/>
          <w:sz w:val="24"/>
          <w:szCs w:val="24"/>
        </w:rPr>
        <w:t>PriorPrice</w:t>
      </w:r>
      <w:proofErr w:type="spellEnd"/>
      <w:r w:rsidRPr="007C6423">
        <w:rPr>
          <w:rFonts w:ascii="Times New Roman" w:eastAsia="Courier New" w:hAnsi="Times New Roman" w:cs="Times New Roman"/>
          <w:sz w:val="24"/>
          <w:szCs w:val="24"/>
        </w:rPr>
        <w:t xml:space="preserve">) || </w:t>
      </w:r>
      <w:proofErr w:type="spellStart"/>
      <w:r w:rsidRPr="007C6423">
        <w:rPr>
          <w:rFonts w:ascii="Times New Roman" w:eastAsia="Courier New" w:hAnsi="Times New Roman" w:cs="Times New Roman"/>
          <w:sz w:val="24"/>
          <w:szCs w:val="24"/>
        </w:rPr>
        <w:t>PriorPrice</w:t>
      </w:r>
      <w:proofErr w:type="spellEnd"/>
      <w:r w:rsidRPr="007C6423">
        <w:rPr>
          <w:rFonts w:ascii="Times New Roman" w:eastAsia="Courier New" w:hAnsi="Times New Roman" w:cs="Times New Roman"/>
          <w:sz w:val="24"/>
          <w:szCs w:val="24"/>
        </w:rPr>
        <w:t xml:space="preserve"> = 0,</w:t>
      </w:r>
    </w:p>
    <w:p w14:paraId="165B3666"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lastRenderedPageBreak/>
        <w:t xml:space="preserve">    </w:t>
      </w:r>
      <w:proofErr w:type="gramStart"/>
      <w:r w:rsidRPr="007C6423">
        <w:rPr>
          <w:rFonts w:ascii="Times New Roman" w:eastAsia="Courier New" w:hAnsi="Times New Roman" w:cs="Times New Roman"/>
          <w:sz w:val="24"/>
          <w:szCs w:val="24"/>
        </w:rPr>
        <w:t>BLANK(</w:t>
      </w:r>
      <w:proofErr w:type="gramEnd"/>
      <w:r w:rsidRPr="007C6423">
        <w:rPr>
          <w:rFonts w:ascii="Times New Roman" w:eastAsia="Courier New" w:hAnsi="Times New Roman" w:cs="Times New Roman"/>
          <w:sz w:val="24"/>
          <w:szCs w:val="24"/>
        </w:rPr>
        <w:t>),</w:t>
      </w:r>
    </w:p>
    <w:p w14:paraId="44429EF4"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DIVIDE(</w:t>
      </w:r>
      <w:proofErr w:type="gramEnd"/>
      <w:r w:rsidRPr="007C6423">
        <w:rPr>
          <w:rFonts w:ascii="Times New Roman" w:eastAsia="Courier New" w:hAnsi="Times New Roman" w:cs="Times New Roman"/>
          <w:sz w:val="24"/>
          <w:szCs w:val="24"/>
        </w:rPr>
        <w:t xml:space="preserve">CurrentPrice - </w:t>
      </w:r>
      <w:proofErr w:type="spellStart"/>
      <w:r w:rsidRPr="007C6423">
        <w:rPr>
          <w:rFonts w:ascii="Times New Roman" w:eastAsia="Courier New" w:hAnsi="Times New Roman" w:cs="Times New Roman"/>
          <w:sz w:val="24"/>
          <w:szCs w:val="24"/>
        </w:rPr>
        <w:t>PriorPrice</w:t>
      </w:r>
      <w:proofErr w:type="spellEnd"/>
      <w:r w:rsidRPr="007C6423">
        <w:rPr>
          <w:rFonts w:ascii="Times New Roman" w:eastAsia="Courier New" w:hAnsi="Times New Roman" w:cs="Times New Roman"/>
          <w:sz w:val="24"/>
          <w:szCs w:val="24"/>
        </w:rPr>
        <w:t xml:space="preserve">, </w:t>
      </w:r>
      <w:proofErr w:type="spellStart"/>
      <w:r w:rsidRPr="007C6423">
        <w:rPr>
          <w:rFonts w:ascii="Times New Roman" w:eastAsia="Courier New" w:hAnsi="Times New Roman" w:cs="Times New Roman"/>
          <w:sz w:val="24"/>
          <w:szCs w:val="24"/>
        </w:rPr>
        <w:t>PriorPrice</w:t>
      </w:r>
      <w:proofErr w:type="spellEnd"/>
      <w:r w:rsidRPr="007C6423">
        <w:rPr>
          <w:rFonts w:ascii="Times New Roman" w:eastAsia="Courier New" w:hAnsi="Times New Roman" w:cs="Times New Roman"/>
          <w:sz w:val="24"/>
          <w:szCs w:val="24"/>
        </w:rPr>
        <w:t>) * 100</w:t>
      </w:r>
    </w:p>
    <w:p w14:paraId="4AD8BD73"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w:t>
      </w:r>
    </w:p>
    <w:p w14:paraId="77E8B133" w14:textId="77777777" w:rsidR="003301C0" w:rsidRPr="007C6423" w:rsidRDefault="003301C0" w:rsidP="003301C0">
      <w:pPr>
        <w:spacing w:before="60" w:after="60"/>
        <w:jc w:val="both"/>
        <w:rPr>
          <w:rFonts w:ascii="Times New Roman" w:hAnsi="Times New Roman" w:cs="Times New Roman"/>
        </w:rPr>
      </w:pPr>
    </w:p>
    <w:p w14:paraId="34E2FC38"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A3.3 Daily Volatility</w:t>
      </w:r>
    </w:p>
    <w:p w14:paraId="02F2D29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measure calculates the daily price range as a percentage of the opening price.</w:t>
      </w:r>
    </w:p>
    <w:p w14:paraId="38853043" w14:textId="77777777" w:rsidR="003301C0" w:rsidRPr="007C6423" w:rsidRDefault="003301C0" w:rsidP="003301C0">
      <w:pPr>
        <w:spacing w:before="60" w:after="60"/>
        <w:jc w:val="both"/>
        <w:rPr>
          <w:rFonts w:ascii="Times New Roman" w:hAnsi="Times New Roman" w:cs="Times New Roman"/>
          <w:sz w:val="24"/>
          <w:szCs w:val="24"/>
        </w:rPr>
      </w:pPr>
    </w:p>
    <w:p w14:paraId="68995288"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Daily Volatility = </w:t>
      </w:r>
    </w:p>
    <w:p w14:paraId="5D00143B"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proofErr w:type="gramStart"/>
      <w:r w:rsidRPr="007C6423">
        <w:rPr>
          <w:rFonts w:ascii="Times New Roman" w:eastAsia="Courier New" w:hAnsi="Times New Roman" w:cs="Times New Roman"/>
          <w:sz w:val="24"/>
          <w:szCs w:val="24"/>
        </w:rPr>
        <w:t>IF(</w:t>
      </w:r>
      <w:proofErr w:type="gramEnd"/>
    </w:p>
    <w:p w14:paraId="6714F9B1"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ISBLANK(</w:t>
      </w:r>
      <w:proofErr w:type="gramStart"/>
      <w:r w:rsidRPr="007C6423">
        <w:rPr>
          <w:rFonts w:ascii="Times New Roman" w:eastAsia="Courier New" w:hAnsi="Times New Roman" w:cs="Times New Roman"/>
          <w:sz w:val="24"/>
          <w:szCs w:val="24"/>
        </w:rPr>
        <w:t>MAX(</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High])),</w:t>
      </w:r>
    </w:p>
    <w:p w14:paraId="2ABBE879"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BLANK(</w:t>
      </w:r>
      <w:proofErr w:type="gramEnd"/>
      <w:r w:rsidRPr="007C6423">
        <w:rPr>
          <w:rFonts w:ascii="Times New Roman" w:eastAsia="Courier New" w:hAnsi="Times New Roman" w:cs="Times New Roman"/>
          <w:sz w:val="24"/>
          <w:szCs w:val="24"/>
        </w:rPr>
        <w:t>),</w:t>
      </w:r>
    </w:p>
    <w:p w14:paraId="05D23663"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DIVIDE(</w:t>
      </w:r>
      <w:proofErr w:type="gramEnd"/>
    </w:p>
    <w:p w14:paraId="6C7D31EE"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AVERAGE(</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 xml:space="preserve">High]) - </w:t>
      </w:r>
      <w:proofErr w:type="gramStart"/>
      <w:r w:rsidRPr="007C6423">
        <w:rPr>
          <w:rFonts w:ascii="Times New Roman" w:eastAsia="Courier New" w:hAnsi="Times New Roman" w:cs="Times New Roman"/>
          <w:sz w:val="24"/>
          <w:szCs w:val="24"/>
        </w:rPr>
        <w:t>AVERAGE(</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Low]),</w:t>
      </w:r>
    </w:p>
    <w:p w14:paraId="19F1599F"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w:t>
      </w:r>
      <w:proofErr w:type="gramStart"/>
      <w:r w:rsidRPr="007C6423">
        <w:rPr>
          <w:rFonts w:ascii="Times New Roman" w:eastAsia="Courier New" w:hAnsi="Times New Roman" w:cs="Times New Roman"/>
          <w:sz w:val="24"/>
          <w:szCs w:val="24"/>
        </w:rPr>
        <w:t>AVERAGE(</w:t>
      </w:r>
      <w:proofErr w:type="spellStart"/>
      <w:proofErr w:type="gramEnd"/>
      <w:r w:rsidRPr="007C6423">
        <w:rPr>
          <w:rFonts w:ascii="Times New Roman" w:eastAsia="Courier New" w:hAnsi="Times New Roman" w:cs="Times New Roman"/>
          <w:sz w:val="24"/>
          <w:szCs w:val="24"/>
        </w:rPr>
        <w:t>gold_historical_</w:t>
      </w:r>
      <w:proofErr w:type="gramStart"/>
      <w:r w:rsidRPr="007C6423">
        <w:rPr>
          <w:rFonts w:ascii="Times New Roman" w:eastAsia="Courier New" w:hAnsi="Times New Roman" w:cs="Times New Roman"/>
          <w:sz w:val="24"/>
          <w:szCs w:val="24"/>
        </w:rPr>
        <w:t>data</w:t>
      </w:r>
      <w:proofErr w:type="spellEnd"/>
      <w:r w:rsidRPr="007C6423">
        <w:rPr>
          <w:rFonts w:ascii="Times New Roman" w:eastAsia="Courier New" w:hAnsi="Times New Roman" w:cs="Times New Roman"/>
          <w:sz w:val="24"/>
          <w:szCs w:val="24"/>
        </w:rPr>
        <w:t>[</w:t>
      </w:r>
      <w:proofErr w:type="gramEnd"/>
      <w:r w:rsidRPr="007C6423">
        <w:rPr>
          <w:rFonts w:ascii="Times New Roman" w:eastAsia="Courier New" w:hAnsi="Times New Roman" w:cs="Times New Roman"/>
          <w:sz w:val="24"/>
          <w:szCs w:val="24"/>
        </w:rPr>
        <w:t>Close])</w:t>
      </w:r>
    </w:p>
    <w:p w14:paraId="5B07DA4A"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 * 100</w:t>
      </w:r>
    </w:p>
    <w:p w14:paraId="574E2532"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w:t>
      </w:r>
    </w:p>
    <w:p w14:paraId="6BF5C09C" w14:textId="77777777" w:rsidR="003301C0" w:rsidRPr="007C6423" w:rsidRDefault="003301C0" w:rsidP="003301C0">
      <w:pPr>
        <w:spacing w:before="60" w:after="60"/>
        <w:jc w:val="both"/>
        <w:rPr>
          <w:rFonts w:ascii="Times New Roman" w:hAnsi="Times New Roman" w:cs="Times New Roman"/>
        </w:rPr>
      </w:pPr>
    </w:p>
    <w:p w14:paraId="4DEB0B85"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4D25C7E7"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A4. Logic Justification: Direct-Logic Model vs. Calendar Table</w:t>
      </w:r>
    </w:p>
    <w:p w14:paraId="3D72D9E9" w14:textId="77777777" w:rsidR="003301C0" w:rsidRPr="007C6423" w:rsidRDefault="003301C0" w:rsidP="003301C0">
      <w:pPr>
        <w:spacing w:before="60" w:after="60"/>
        <w:jc w:val="both"/>
        <w:rPr>
          <w:rFonts w:ascii="Times New Roman" w:hAnsi="Times New Roman" w:cs="Times New Roman"/>
        </w:rPr>
      </w:pPr>
    </w:p>
    <w:p w14:paraId="7A1E962F"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A4.1 What is a Calendar Table?</w:t>
      </w:r>
    </w:p>
    <w:p w14:paraId="0274816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In a standard Power BI star schema, a separate Calendar or Date dimension table is created and joined to the fact table on the date key. It contains one row per day and includes columns for Year, Quarter, Month Name, Month Number, Week Number, and similar attributes.</w:t>
      </w:r>
    </w:p>
    <w:p w14:paraId="4A95680B" w14:textId="77777777" w:rsidR="003301C0" w:rsidRPr="007C6423" w:rsidRDefault="003301C0" w:rsidP="003301C0">
      <w:pPr>
        <w:spacing w:before="60" w:after="60"/>
        <w:jc w:val="both"/>
        <w:rPr>
          <w:rFonts w:ascii="Times New Roman" w:hAnsi="Times New Roman" w:cs="Times New Roman"/>
          <w:sz w:val="24"/>
          <w:szCs w:val="24"/>
        </w:rPr>
      </w:pPr>
    </w:p>
    <w:p w14:paraId="60C5521A"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A4.2 Why a Direct-Logic Model was Used Instead</w:t>
      </w:r>
    </w:p>
    <w:p w14:paraId="0CEB93B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For this project a Direct-Logic Model was used instead. The dashboard only needs to group and filter data by Year and by the Year/Quarter/Month/Day hierarchy. Both are provided by Power BI's auto-generated </w:t>
      </w:r>
      <w:proofErr w:type="spellStart"/>
      <w:r w:rsidRPr="007C6423">
        <w:rPr>
          <w:rFonts w:ascii="Times New Roman" w:hAnsi="Times New Roman" w:cs="Times New Roman"/>
          <w:sz w:val="24"/>
          <w:szCs w:val="24"/>
        </w:rPr>
        <w:t>LocalDateTable</w:t>
      </w:r>
      <w:proofErr w:type="spellEnd"/>
      <w:r w:rsidRPr="007C6423">
        <w:rPr>
          <w:rFonts w:ascii="Times New Roman" w:hAnsi="Times New Roman" w:cs="Times New Roman"/>
          <w:sz w:val="24"/>
          <w:szCs w:val="24"/>
        </w:rPr>
        <w:t>, which is created automatically when a Date column is present in the fact table.</w:t>
      </w:r>
    </w:p>
    <w:p w14:paraId="448E1537" w14:textId="77777777" w:rsidR="003301C0" w:rsidRPr="007C6423" w:rsidRDefault="003301C0" w:rsidP="003301C0">
      <w:pPr>
        <w:spacing w:before="60" w:after="60"/>
        <w:jc w:val="both"/>
        <w:rPr>
          <w:rFonts w:ascii="Times New Roman" w:hAnsi="Times New Roman" w:cs="Times New Roman"/>
          <w:sz w:val="24"/>
          <w:szCs w:val="24"/>
        </w:rPr>
      </w:pPr>
    </w:p>
    <w:p w14:paraId="19D0BAFF"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Creating a full Calendar table would have added the following without any practical benefit:</w:t>
      </w:r>
    </w:p>
    <w:p w14:paraId="77A27E35" w14:textId="77777777" w:rsidR="003301C0" w:rsidRPr="007C6423" w:rsidRDefault="003301C0" w:rsidP="003301C0">
      <w:pPr>
        <w:spacing w:before="60" w:after="60"/>
        <w:jc w:val="both"/>
        <w:rPr>
          <w:rFonts w:ascii="Times New Roman" w:hAnsi="Times New Roman" w:cs="Times New Roman"/>
          <w:sz w:val="24"/>
          <w:szCs w:val="24"/>
        </w:rPr>
      </w:pPr>
    </w:p>
    <w:p w14:paraId="2FD0B296" w14:textId="77777777" w:rsidR="003301C0" w:rsidRPr="007C6423" w:rsidRDefault="003301C0" w:rsidP="003301C0">
      <w:pPr>
        <w:pStyle w:val="ListParagraph"/>
        <w:numPr>
          <w:ilvl w:val="0"/>
          <w:numId w:val="2"/>
        </w:numPr>
        <w:spacing w:before="40" w:after="40"/>
        <w:jc w:val="both"/>
        <w:rPr>
          <w:rFonts w:ascii="Times New Roman" w:hAnsi="Times New Roman" w:cs="Times New Roman"/>
          <w:sz w:val="24"/>
          <w:szCs w:val="24"/>
        </w:rPr>
      </w:pPr>
      <w:r w:rsidRPr="007C6423">
        <w:rPr>
          <w:rFonts w:ascii="Times New Roman" w:hAnsi="Times New Roman" w:cs="Times New Roman"/>
          <w:sz w:val="24"/>
          <w:szCs w:val="24"/>
        </w:rPr>
        <w:t>An extra import step to load or generate the calendar rows</w:t>
      </w:r>
    </w:p>
    <w:p w14:paraId="745FFD94" w14:textId="77777777" w:rsidR="003301C0" w:rsidRPr="007C6423" w:rsidRDefault="003301C0" w:rsidP="003301C0">
      <w:pPr>
        <w:pStyle w:val="ListParagraph"/>
        <w:numPr>
          <w:ilvl w:val="0"/>
          <w:numId w:val="2"/>
        </w:numPr>
        <w:spacing w:before="40" w:after="40"/>
        <w:jc w:val="both"/>
        <w:rPr>
          <w:rFonts w:ascii="Times New Roman" w:hAnsi="Times New Roman" w:cs="Times New Roman"/>
          <w:sz w:val="24"/>
          <w:szCs w:val="24"/>
        </w:rPr>
      </w:pPr>
      <w:r w:rsidRPr="007C6423">
        <w:rPr>
          <w:rFonts w:ascii="Times New Roman" w:hAnsi="Times New Roman" w:cs="Times New Roman"/>
          <w:sz w:val="24"/>
          <w:szCs w:val="24"/>
        </w:rPr>
        <w:t>A defined relationship that every DAX measure must respect</w:t>
      </w:r>
    </w:p>
    <w:p w14:paraId="219015D9" w14:textId="77777777" w:rsidR="003301C0" w:rsidRPr="007C6423" w:rsidRDefault="003301C0" w:rsidP="003301C0">
      <w:pPr>
        <w:pStyle w:val="ListParagraph"/>
        <w:numPr>
          <w:ilvl w:val="0"/>
          <w:numId w:val="2"/>
        </w:numPr>
        <w:spacing w:before="40" w:after="40"/>
        <w:jc w:val="both"/>
        <w:rPr>
          <w:rFonts w:ascii="Times New Roman" w:hAnsi="Times New Roman" w:cs="Times New Roman"/>
          <w:sz w:val="24"/>
          <w:szCs w:val="24"/>
        </w:rPr>
      </w:pPr>
      <w:r w:rsidRPr="007C6423">
        <w:rPr>
          <w:rFonts w:ascii="Times New Roman" w:hAnsi="Times New Roman" w:cs="Times New Roman"/>
          <w:sz w:val="24"/>
          <w:szCs w:val="24"/>
        </w:rPr>
        <w:t>Additional memory consumed by rows and columns never used in any visual</w:t>
      </w:r>
    </w:p>
    <w:p w14:paraId="2FA2DBB5" w14:textId="77777777" w:rsidR="003301C0" w:rsidRPr="007C6423" w:rsidRDefault="003301C0" w:rsidP="003301C0">
      <w:pPr>
        <w:pStyle w:val="ListParagraph"/>
        <w:numPr>
          <w:ilvl w:val="0"/>
          <w:numId w:val="2"/>
        </w:numPr>
        <w:spacing w:before="40" w:after="40"/>
        <w:jc w:val="both"/>
        <w:rPr>
          <w:rFonts w:ascii="Times New Roman" w:hAnsi="Times New Roman" w:cs="Times New Roman"/>
          <w:sz w:val="24"/>
          <w:szCs w:val="24"/>
        </w:rPr>
      </w:pPr>
      <w:r w:rsidRPr="007C6423">
        <w:rPr>
          <w:rFonts w:ascii="Times New Roman" w:hAnsi="Times New Roman" w:cs="Times New Roman"/>
          <w:sz w:val="24"/>
          <w:szCs w:val="24"/>
        </w:rPr>
        <w:t>Potential slicer performance issues if the Calendar table grows large</w:t>
      </w:r>
    </w:p>
    <w:p w14:paraId="15D3793C" w14:textId="77777777" w:rsidR="003301C0" w:rsidRPr="007C6423" w:rsidRDefault="003301C0" w:rsidP="003301C0">
      <w:pPr>
        <w:spacing w:before="60" w:after="60"/>
        <w:jc w:val="both"/>
        <w:rPr>
          <w:rFonts w:ascii="Times New Roman" w:hAnsi="Times New Roman" w:cs="Times New Roman"/>
          <w:sz w:val="24"/>
          <w:szCs w:val="24"/>
        </w:rPr>
      </w:pPr>
    </w:p>
    <w:p w14:paraId="6CDEBB6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 Calendar table would become the right choice if the project needed fiscal-year time intelligence or if multiple fact tables needed filtering through a shared date dimension. Neither requirement applies here.</w:t>
      </w:r>
    </w:p>
    <w:p w14:paraId="37C838A2" w14:textId="77777777" w:rsidR="003301C0" w:rsidRPr="007C6423" w:rsidRDefault="003301C0" w:rsidP="003301C0">
      <w:pPr>
        <w:spacing w:before="60" w:after="60"/>
        <w:jc w:val="both"/>
        <w:rPr>
          <w:rFonts w:ascii="Times New Roman" w:hAnsi="Times New Roman" w:cs="Times New Roman"/>
        </w:rPr>
      </w:pPr>
    </w:p>
    <w:p w14:paraId="17316D01"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5E2F8425"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A5. Visual Hierarchy and Theme Design</w:t>
      </w:r>
    </w:p>
    <w:p w14:paraId="5FED75E7" w14:textId="77777777" w:rsidR="003301C0" w:rsidRPr="007C6423" w:rsidRDefault="003301C0" w:rsidP="003301C0">
      <w:pPr>
        <w:spacing w:before="60" w:after="60"/>
        <w:jc w:val="both"/>
        <w:rPr>
          <w:rFonts w:ascii="Times New Roman" w:hAnsi="Times New Roman" w:cs="Times New Roman"/>
        </w:rPr>
      </w:pPr>
    </w:p>
    <w:p w14:paraId="33D0FF6D"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A5.1 The Dark/Gold Financial Theme</w:t>
      </w:r>
    </w:p>
    <w:p w14:paraId="73E3D0A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The dashboard uses a dark background with gold and white accents. The subject matter is gold prices, so the color scheme directly reflects the content. Dark backgrounds also increase the contrast ratio between chart elements and the canvas, which is important for financial data where small differences in line position need to be readable </w:t>
      </w:r>
      <w:proofErr w:type="gramStart"/>
      <w:r w:rsidRPr="007C6423">
        <w:rPr>
          <w:rFonts w:ascii="Times New Roman" w:hAnsi="Times New Roman" w:cs="Times New Roman"/>
          <w:sz w:val="24"/>
          <w:szCs w:val="24"/>
        </w:rPr>
        <w:t>at a glance</w:t>
      </w:r>
      <w:proofErr w:type="gramEnd"/>
      <w:r w:rsidRPr="007C6423">
        <w:rPr>
          <w:rFonts w:ascii="Times New Roman" w:hAnsi="Times New Roman" w:cs="Times New Roman"/>
          <w:sz w:val="24"/>
          <w:szCs w:val="24"/>
        </w:rPr>
        <w:t xml:space="preserve">. The base Power BI theme applied is </w:t>
      </w:r>
      <w:proofErr w:type="spellStart"/>
      <w:r w:rsidRPr="007C6423">
        <w:rPr>
          <w:rFonts w:ascii="Times New Roman" w:hAnsi="Times New Roman" w:cs="Times New Roman"/>
          <w:sz w:val="24"/>
          <w:szCs w:val="24"/>
        </w:rPr>
        <w:t>NewExecutive</w:t>
      </w:r>
      <w:proofErr w:type="spellEnd"/>
      <w:r w:rsidRPr="007C6423">
        <w:rPr>
          <w:rFonts w:ascii="Times New Roman" w:hAnsi="Times New Roman" w:cs="Times New Roman"/>
          <w:sz w:val="24"/>
          <w:szCs w:val="24"/>
        </w:rPr>
        <w:t>, reinforced with custom gold object formatting.</w:t>
      </w:r>
    </w:p>
    <w:p w14:paraId="05C7E778" w14:textId="77777777" w:rsidR="003301C0" w:rsidRPr="007C6423" w:rsidRDefault="003301C0" w:rsidP="003301C0">
      <w:pPr>
        <w:spacing w:before="60" w:after="60"/>
        <w:jc w:val="both"/>
        <w:rPr>
          <w:rFonts w:ascii="Times New Roman" w:hAnsi="Times New Roman" w:cs="Times New Roman"/>
        </w:rPr>
      </w:pPr>
    </w:p>
    <w:p w14:paraId="6107896F"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A5.2 Visual Layout and Reading Order</w:t>
      </w:r>
    </w:p>
    <w:p w14:paraId="793052E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page follows a top-to-bottom reading flow. The Year slicer sits at the top so users set the time context first. KPI cards sit below showing the 30-Day Moving Average, YoY % change, period high, and period low. The line chart takes the widest section and shows the full trend. The table and matrix at the bottom allow year and quarter drill-down.</w:t>
      </w:r>
    </w:p>
    <w:p w14:paraId="4DE9FB47" w14:textId="77777777" w:rsidR="003301C0" w:rsidRPr="007C6423" w:rsidRDefault="003301C0" w:rsidP="003301C0">
      <w:pPr>
        <w:spacing w:before="60" w:after="60"/>
        <w:jc w:val="both"/>
        <w:rPr>
          <w:rFonts w:ascii="Times New Roman" w:hAnsi="Times New Roman" w:cs="Times New Roman"/>
        </w:rPr>
      </w:pPr>
    </w:p>
    <w:p w14:paraId="2459C104"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A5.3 Choice of Visual Types</w:t>
      </w:r>
    </w:p>
    <w:p w14:paraId="224E715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line chart was chosen for the trend view because gold prices are continuous over time. The dual-line configuration lets users see both actual volatility and the smoothed trend together. Table and matrix visuals both use the Minimal style preset to keep focus on numbers. Card visuals were used for KPI numbers because they draw the eye immediately to a single figure, which is the expected pattern for executive-facing financial dashboards.</w:t>
      </w:r>
    </w:p>
    <w:p w14:paraId="365F3455" w14:textId="77777777" w:rsidR="003301C0" w:rsidRPr="007C6423" w:rsidRDefault="003301C0" w:rsidP="003301C0">
      <w:pPr>
        <w:jc w:val="both"/>
        <w:rPr>
          <w:rFonts w:ascii="Times New Roman" w:hAnsi="Times New Roman" w:cs="Times New Roman"/>
        </w:rPr>
        <w:sectPr w:rsidR="003301C0" w:rsidRPr="007C6423" w:rsidSect="003301C0">
          <w:headerReference w:type="default" r:id="rId18"/>
          <w:footerReference w:type="default" r:id="rId19"/>
          <w:pgSz w:w="12240" w:h="15840"/>
          <w:pgMar w:top="1440" w:right="1440" w:bottom="1440" w:left="1440" w:header="709" w:footer="709" w:gutter="0"/>
          <w:cols w:space="720"/>
          <w:docGrid w:linePitch="360"/>
        </w:sectPr>
      </w:pPr>
    </w:p>
    <w:p w14:paraId="7D6761EA" w14:textId="77777777" w:rsidR="003301C0" w:rsidRPr="007C6423" w:rsidRDefault="003301C0" w:rsidP="003301C0">
      <w:pPr>
        <w:spacing w:before="2400" w:after="480"/>
        <w:jc w:val="both"/>
        <w:rPr>
          <w:rFonts w:ascii="Times New Roman" w:hAnsi="Times New Roman" w:cs="Times New Roman"/>
          <w:sz w:val="52"/>
          <w:szCs w:val="52"/>
        </w:rPr>
      </w:pPr>
      <w:r w:rsidRPr="007C6423">
        <w:rPr>
          <w:rFonts w:ascii="Times New Roman" w:hAnsi="Times New Roman" w:cs="Times New Roman"/>
          <w:b/>
          <w:bCs/>
          <w:color w:val="B8900A"/>
          <w:sz w:val="52"/>
          <w:szCs w:val="52"/>
        </w:rPr>
        <w:lastRenderedPageBreak/>
        <w:t>Addendum B</w:t>
      </w:r>
    </w:p>
    <w:p w14:paraId="02244154" w14:textId="77777777" w:rsidR="003301C0" w:rsidRPr="007C6423" w:rsidRDefault="003301C0" w:rsidP="003301C0">
      <w:pPr>
        <w:pBdr>
          <w:bottom w:val="single" w:sz="6" w:space="4" w:color="B8900A"/>
        </w:pBdr>
        <w:spacing w:after="240"/>
        <w:jc w:val="both"/>
        <w:rPr>
          <w:rFonts w:ascii="Times New Roman" w:hAnsi="Times New Roman" w:cs="Times New Roman"/>
          <w:sz w:val="40"/>
          <w:szCs w:val="40"/>
        </w:rPr>
      </w:pPr>
      <w:r w:rsidRPr="007C6423">
        <w:rPr>
          <w:rFonts w:ascii="Times New Roman" w:hAnsi="Times New Roman" w:cs="Times New Roman"/>
          <w:b/>
          <w:bCs/>
          <w:color w:val="1F3864"/>
          <w:sz w:val="40"/>
          <w:szCs w:val="40"/>
        </w:rPr>
        <w:t>Deployment Document</w:t>
      </w:r>
    </w:p>
    <w:p w14:paraId="43EAD59C" w14:textId="77777777" w:rsidR="003301C0" w:rsidRPr="007C6423" w:rsidRDefault="003301C0" w:rsidP="003301C0">
      <w:pPr>
        <w:spacing w:before="60" w:after="60"/>
        <w:jc w:val="both"/>
        <w:rPr>
          <w:rFonts w:ascii="Times New Roman" w:hAnsi="Times New Roman" w:cs="Times New Roman"/>
        </w:rPr>
      </w:pPr>
    </w:p>
    <w:p w14:paraId="23118DF4" w14:textId="77777777" w:rsidR="003301C0" w:rsidRPr="007C6423" w:rsidRDefault="003301C0" w:rsidP="003301C0">
      <w:pPr>
        <w:spacing w:before="60" w:after="60"/>
        <w:jc w:val="both"/>
        <w:rPr>
          <w:rFonts w:ascii="Times New Roman" w:hAnsi="Times New Roman" w:cs="Times New Roman"/>
        </w:rPr>
      </w:pPr>
    </w:p>
    <w:p w14:paraId="737F90AB"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555555"/>
          <w:sz w:val="24"/>
          <w:szCs w:val="24"/>
        </w:rPr>
        <w:t>Gold Price Analytics Dashboard</w:t>
      </w:r>
    </w:p>
    <w:p w14:paraId="7FDDF7D0"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888888"/>
          <w:sz w:val="24"/>
          <w:szCs w:val="24"/>
        </w:rPr>
        <w:t>March 2026</w:t>
      </w:r>
    </w:p>
    <w:p w14:paraId="0178E4F8"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15F4C20E"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B1. Purpose</w:t>
      </w:r>
    </w:p>
    <w:p w14:paraId="69C56342"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This addendum describes how the Gold Price Analytics Dashboard is stored, versioned, and hosted. It covers the GitHub repository structure, the version control approach for Power BI files, the GitHub Pages setup used for the Interim Status Reports, and the software and data requirements needed to open and refresh the dashboard.</w:t>
      </w:r>
    </w:p>
    <w:p w14:paraId="547DCDF4" w14:textId="77777777" w:rsidR="003301C0" w:rsidRPr="007C6423" w:rsidRDefault="003301C0" w:rsidP="003301C0">
      <w:pPr>
        <w:spacing w:before="60" w:after="60"/>
        <w:jc w:val="both"/>
        <w:rPr>
          <w:rFonts w:ascii="Times New Roman" w:hAnsi="Times New Roman" w:cs="Times New Roman"/>
        </w:rPr>
      </w:pPr>
    </w:p>
    <w:p w14:paraId="7952EC3E"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t>B2. Version Control</w:t>
      </w:r>
    </w:p>
    <w:p w14:paraId="7D3E0839" w14:textId="77777777" w:rsidR="003301C0" w:rsidRPr="007C6423" w:rsidRDefault="003301C0" w:rsidP="003301C0">
      <w:pPr>
        <w:spacing w:before="60" w:after="60"/>
        <w:jc w:val="both"/>
        <w:rPr>
          <w:rFonts w:ascii="Times New Roman" w:hAnsi="Times New Roman" w:cs="Times New Roman"/>
        </w:rPr>
      </w:pPr>
    </w:p>
    <w:p w14:paraId="4FCE5CBB"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B2.1 Repository Structure</w:t>
      </w:r>
    </w:p>
    <w:p w14:paraId="3AC84CAC"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project is stored in a GitHub repository under the team's shared organization account. The folder structure is as follows:</w:t>
      </w:r>
    </w:p>
    <w:p w14:paraId="31323B0D" w14:textId="77777777" w:rsidR="003301C0" w:rsidRPr="007C6423" w:rsidRDefault="003301C0" w:rsidP="003301C0">
      <w:pPr>
        <w:spacing w:before="60" w:after="60"/>
        <w:jc w:val="both"/>
        <w:rPr>
          <w:rFonts w:ascii="Times New Roman" w:hAnsi="Times New Roman" w:cs="Times New Roman"/>
          <w:sz w:val="24"/>
          <w:szCs w:val="24"/>
        </w:rPr>
      </w:pPr>
    </w:p>
    <w:p w14:paraId="6F103005"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w:t>
      </w:r>
    </w:p>
    <w:p w14:paraId="5B0F28E6"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README.md</w:t>
      </w:r>
    </w:p>
    <w:p w14:paraId="6FA0EDC6"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w:t>
      </w:r>
      <w:proofErr w:type="gramStart"/>
      <w:r w:rsidRPr="007C6423">
        <w:rPr>
          <w:rFonts w:ascii="Times New Roman" w:eastAsia="Courier New" w:hAnsi="Times New Roman" w:cs="Times New Roman"/>
          <w:sz w:val="24"/>
          <w:szCs w:val="24"/>
        </w:rPr>
        <w:t>-- .</w:t>
      </w:r>
      <w:proofErr w:type="spellStart"/>
      <w:r w:rsidRPr="007C6423">
        <w:rPr>
          <w:rFonts w:ascii="Times New Roman" w:eastAsia="Courier New" w:hAnsi="Times New Roman" w:cs="Times New Roman"/>
          <w:sz w:val="24"/>
          <w:szCs w:val="24"/>
        </w:rPr>
        <w:t>gitignore</w:t>
      </w:r>
      <w:proofErr w:type="spellEnd"/>
      <w:proofErr w:type="gramEnd"/>
    </w:p>
    <w:p w14:paraId="0BCEA631"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/dashboard</w:t>
      </w:r>
    </w:p>
    <w:p w14:paraId="11CA5070"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|-- 1.0_gold_historical_data_cleaned.pbix</w:t>
      </w:r>
    </w:p>
    <w:p w14:paraId="197C99BA"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|-- 1.1_gold_historical_data_with_key_metrics.pbix</w:t>
      </w:r>
    </w:p>
    <w:p w14:paraId="5C224185"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xml:space="preserve">|   |-- 1.2_gold_historical_data_ </w:t>
      </w:r>
      <w:proofErr w:type="spellStart"/>
      <w:r w:rsidRPr="007C6423">
        <w:rPr>
          <w:rFonts w:ascii="Times New Roman" w:eastAsia="Courier New" w:hAnsi="Times New Roman" w:cs="Times New Roman"/>
          <w:sz w:val="24"/>
          <w:szCs w:val="24"/>
        </w:rPr>
        <w:t>with_analysis.pbix</w:t>
      </w:r>
      <w:proofErr w:type="spellEnd"/>
    </w:p>
    <w:p w14:paraId="29387A10"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|-- 1.3_gold_historical_data_with_forecasting.pbix</w:t>
      </w:r>
    </w:p>
    <w:p w14:paraId="76AF7D1E"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/dataset</w:t>
      </w:r>
    </w:p>
    <w:p w14:paraId="455FE8C6"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xml:space="preserve">|   |-- gold_historical_data.csv         </w:t>
      </w:r>
    </w:p>
    <w:p w14:paraId="0B71DDF5"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xml:space="preserve">|   |-- gold_historical_data_cleaned.csv   </w:t>
      </w:r>
    </w:p>
    <w:p w14:paraId="2A5CB44E"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/docs</w:t>
      </w:r>
    </w:p>
    <w:p w14:paraId="417DE5EF"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|--/Project Proposal</w:t>
      </w:r>
    </w:p>
    <w:p w14:paraId="15EAD440"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   |-- Group 8 Project Proposal Document V1.docx</w:t>
      </w:r>
    </w:p>
    <w:p w14:paraId="6CDD473B"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   |-- Group 8 Project Proposal Document V2.docx</w:t>
      </w:r>
    </w:p>
    <w:p w14:paraId="0002942E"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|--/Project Status Report</w:t>
      </w:r>
    </w:p>
    <w:p w14:paraId="7DFB51D8"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   |-- Project Status Report.html</w:t>
      </w:r>
    </w:p>
    <w:p w14:paraId="2D7FC0F6"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|--/Project Final Report</w:t>
      </w:r>
    </w:p>
    <w:p w14:paraId="191A5770"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   |-- Project Final Report with Addendums.docx</w:t>
      </w:r>
    </w:p>
    <w:p w14:paraId="229934C3" w14:textId="77777777" w:rsidR="003301C0" w:rsidRPr="007C6423" w:rsidRDefault="003301C0" w:rsidP="003301C0">
      <w:pPr>
        <w:shd w:val="clear" w:color="auto" w:fill="F2F2F2"/>
        <w:spacing w:before="4" w:after="4"/>
        <w:jc w:val="both"/>
        <w:rPr>
          <w:rFonts w:ascii="Times New Roman" w:eastAsia="Courier New" w:hAnsi="Times New Roman" w:cs="Times New Roman"/>
          <w:sz w:val="24"/>
          <w:szCs w:val="24"/>
        </w:rPr>
      </w:pPr>
      <w:r w:rsidRPr="007C6423">
        <w:rPr>
          <w:rFonts w:ascii="Times New Roman" w:eastAsia="Courier New" w:hAnsi="Times New Roman" w:cs="Times New Roman"/>
          <w:sz w:val="24"/>
          <w:szCs w:val="24"/>
        </w:rPr>
        <w:t>|   |--/Project Presentation</w:t>
      </w:r>
    </w:p>
    <w:p w14:paraId="6A89E4D8" w14:textId="77777777" w:rsidR="003301C0" w:rsidRPr="007C6423" w:rsidRDefault="003301C0" w:rsidP="003301C0">
      <w:pPr>
        <w:shd w:val="clear" w:color="auto" w:fill="F2F2F2"/>
        <w:spacing w:before="4" w:after="4"/>
        <w:jc w:val="both"/>
        <w:rPr>
          <w:rFonts w:ascii="Times New Roman" w:hAnsi="Times New Roman" w:cs="Times New Roman"/>
          <w:sz w:val="24"/>
          <w:szCs w:val="24"/>
        </w:rPr>
      </w:pPr>
      <w:r w:rsidRPr="007C6423">
        <w:rPr>
          <w:rFonts w:ascii="Times New Roman" w:eastAsia="Courier New" w:hAnsi="Times New Roman" w:cs="Times New Roman"/>
          <w:sz w:val="24"/>
          <w:szCs w:val="24"/>
        </w:rPr>
        <w:t xml:space="preserve">|   |   |-- </w:t>
      </w:r>
      <w:r w:rsidRPr="007C6423">
        <w:rPr>
          <w:rFonts w:ascii="Times New Roman" w:hAnsi="Times New Roman" w:cs="Times New Roman"/>
          <w:sz w:val="24"/>
          <w:szCs w:val="24"/>
        </w:rPr>
        <w:t>Gold Analytics Dashboard Presentation.pptx</w:t>
      </w:r>
    </w:p>
    <w:p w14:paraId="471D21AA" w14:textId="77777777" w:rsidR="003301C0" w:rsidRPr="007C6423" w:rsidRDefault="003301C0" w:rsidP="003301C0">
      <w:pPr>
        <w:spacing w:before="60" w:after="60"/>
        <w:jc w:val="both"/>
        <w:rPr>
          <w:rFonts w:ascii="Times New Roman" w:hAnsi="Times New Roman" w:cs="Times New Roman"/>
        </w:rPr>
      </w:pPr>
    </w:p>
    <w:p w14:paraId="43A13F83"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B2.2 Branch Strategy</w:t>
      </w:r>
    </w:p>
    <w:p w14:paraId="1C0E6CBE"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repository uses two permanent branches. The main branch holds the most recent reviewed and approved version of all files. The develop branch is where active work takes place. All changes are made on develop and then merged into main through a pull request once both team members have reviewed the update.</w:t>
      </w:r>
    </w:p>
    <w:p w14:paraId="706E7AEE" w14:textId="77777777" w:rsidR="003301C0" w:rsidRPr="007C6423" w:rsidRDefault="003301C0" w:rsidP="003301C0">
      <w:pPr>
        <w:spacing w:before="60" w:after="60"/>
        <w:jc w:val="both"/>
        <w:rPr>
          <w:rFonts w:ascii="Times New Roman" w:hAnsi="Times New Roman" w:cs="Times New Roman"/>
        </w:rPr>
      </w:pPr>
    </w:p>
    <w:p w14:paraId="596EE85B" w14:textId="77777777" w:rsidR="003301C0" w:rsidRPr="007C6423" w:rsidRDefault="003301C0" w:rsidP="003301C0">
      <w:pPr>
        <w:pStyle w:val="Heading2"/>
        <w:spacing w:before="240" w:after="120"/>
        <w:jc w:val="both"/>
        <w:rPr>
          <w:rFonts w:ascii="Times New Roman" w:hAnsi="Times New Roman" w:cs="Times New Roman"/>
          <w:sz w:val="22"/>
          <w:szCs w:val="22"/>
        </w:rPr>
      </w:pPr>
      <w:r w:rsidRPr="007C6423">
        <w:rPr>
          <w:rFonts w:ascii="Times New Roman" w:hAnsi="Times New Roman" w:cs="Times New Roman"/>
          <w:b/>
          <w:bCs/>
          <w:color w:val="B8900A"/>
          <w:sz w:val="24"/>
          <w:szCs w:val="24"/>
        </w:rPr>
        <w:lastRenderedPageBreak/>
        <w:t>B2.3 Power BI File Versioning</w:t>
      </w:r>
    </w:p>
    <w:p w14:paraId="0ED4DA7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Power BI .</w:t>
      </w:r>
      <w:proofErr w:type="spellStart"/>
      <w:r w:rsidRPr="007C6423">
        <w:rPr>
          <w:rFonts w:ascii="Times New Roman" w:hAnsi="Times New Roman" w:cs="Times New Roman"/>
          <w:sz w:val="24"/>
          <w:szCs w:val="24"/>
        </w:rPr>
        <w:t>pbix</w:t>
      </w:r>
      <w:proofErr w:type="spellEnd"/>
      <w:r w:rsidRPr="007C6423">
        <w:rPr>
          <w:rFonts w:ascii="Times New Roman" w:hAnsi="Times New Roman" w:cs="Times New Roman"/>
          <w:sz w:val="24"/>
          <w:szCs w:val="24"/>
        </w:rPr>
        <w:t xml:space="preserve"> files are binary files. Git cannot show a meaningful diff between versions. To work around this, a version number is added to the filename before each commit. The numbering follows the format MAJOR_MINOR, where the major number increases when the data model is restructured and the minor number increases when visuals or formatting are changed.</w:t>
      </w:r>
    </w:p>
    <w:p w14:paraId="16CE57FC" w14:textId="77777777" w:rsidR="003301C0" w:rsidRPr="007C6423" w:rsidRDefault="003301C0" w:rsidP="003301C0">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1557"/>
        <w:gridCol w:w="2817"/>
      </w:tblGrid>
      <w:tr w:rsidR="003301C0" w:rsidRPr="007C6423" w14:paraId="064E6AFE" w14:textId="77777777" w:rsidTr="0022653D">
        <w:trPr>
          <w:tblHeader/>
        </w:trPr>
        <w:tc>
          <w:tcPr>
            <w:tcW w:w="34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051213FA"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File Name</w:t>
            </w:r>
          </w:p>
        </w:tc>
        <w:tc>
          <w:tcPr>
            <w:tcW w:w="20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2194FE7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Commit Date</w:t>
            </w:r>
          </w:p>
        </w:tc>
        <w:tc>
          <w:tcPr>
            <w:tcW w:w="396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6BF3E2BD"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Changes</w:t>
            </w:r>
          </w:p>
        </w:tc>
      </w:tr>
      <w:tr w:rsidR="003301C0" w:rsidRPr="007C6423" w14:paraId="709311F9" w14:textId="77777777" w:rsidTr="0022653D">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6B4F32"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1.0_gold_historical_data_cleaned.pbix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C9D820"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March 10, 2026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752ED8"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Initial version. Raw dataset imported and cleaned. No DAX measures or visuals yet.</w:t>
            </w:r>
          </w:p>
        </w:tc>
      </w:tr>
      <w:tr w:rsidR="003301C0" w:rsidRPr="007C6423" w14:paraId="442DD3EE" w14:textId="77777777" w:rsidTr="0022653D">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52560E3"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1.1_gold_historical_data_with_key_metrics.pbix</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02BFCE"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March 16, 2026</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85056D"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 xml:space="preserve">Added Key Metrics measures table with 30-Day Moving Avg, YoY % Price Change, and Daily Volatility. Applied </w:t>
            </w:r>
            <w:proofErr w:type="spellStart"/>
            <w:r w:rsidRPr="007C6423">
              <w:rPr>
                <w:rFonts w:ascii="Times New Roman" w:hAnsi="Times New Roman" w:cs="Times New Roman"/>
                <w:sz w:val="24"/>
                <w:szCs w:val="24"/>
              </w:rPr>
              <w:t>NewExecutive</w:t>
            </w:r>
            <w:proofErr w:type="spellEnd"/>
            <w:r w:rsidRPr="007C6423">
              <w:rPr>
                <w:rFonts w:ascii="Times New Roman" w:hAnsi="Times New Roman" w:cs="Times New Roman"/>
                <w:sz w:val="24"/>
                <w:szCs w:val="24"/>
              </w:rPr>
              <w:t xml:space="preserve"> theme and full visual layout.</w:t>
            </w:r>
          </w:p>
        </w:tc>
      </w:tr>
      <w:tr w:rsidR="003301C0" w:rsidRPr="007C6423" w14:paraId="6F4CFD75" w14:textId="77777777" w:rsidTr="0022653D">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28272F"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1.2_gold_historical_data_</w:t>
            </w:r>
            <w:r w:rsidRPr="007C6423">
              <w:rPr>
                <w:rFonts w:ascii="Times New Roman" w:eastAsia="Courier New" w:hAnsi="Times New Roman" w:cs="Times New Roman"/>
                <w:sz w:val="24"/>
                <w:szCs w:val="24"/>
              </w:rPr>
              <w:t xml:space="preserve"> </w:t>
            </w:r>
            <w:proofErr w:type="spellStart"/>
            <w:r w:rsidRPr="007C6423">
              <w:rPr>
                <w:rFonts w:ascii="Times New Roman" w:eastAsia="Courier New" w:hAnsi="Times New Roman" w:cs="Times New Roman"/>
                <w:sz w:val="24"/>
                <w:szCs w:val="24"/>
              </w:rPr>
              <w:t>with_analysis</w:t>
            </w:r>
            <w:r w:rsidRPr="007C6423">
              <w:rPr>
                <w:rFonts w:ascii="Times New Roman" w:hAnsi="Times New Roman" w:cs="Times New Roman"/>
                <w:sz w:val="24"/>
                <w:szCs w:val="24"/>
              </w:rPr>
              <w:t>.pbix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73F8C2"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March 22, 2026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1B1DA5"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Final report pages completed. Dashboard screenshots added. Full cross-visual formatting applied.</w:t>
            </w:r>
          </w:p>
        </w:tc>
      </w:tr>
      <w:tr w:rsidR="003301C0" w:rsidRPr="007C6423" w14:paraId="6F407DAF" w14:textId="77777777" w:rsidTr="0022653D">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A46C62"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1.3_gold_historical_data_with_forecasting.pbix</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DEE79B"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March 29, 2026</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76816D2" w14:textId="77777777" w:rsidR="003301C0" w:rsidRPr="007C6423" w:rsidRDefault="003301C0" w:rsidP="00BE7F74">
            <w:pPr>
              <w:rPr>
                <w:rFonts w:ascii="Times New Roman" w:hAnsi="Times New Roman" w:cs="Times New Roman"/>
                <w:sz w:val="24"/>
                <w:szCs w:val="24"/>
              </w:rPr>
            </w:pPr>
            <w:r w:rsidRPr="007C6423">
              <w:rPr>
                <w:rFonts w:ascii="Times New Roman" w:hAnsi="Times New Roman" w:cs="Times New Roman"/>
                <w:sz w:val="24"/>
                <w:szCs w:val="24"/>
              </w:rPr>
              <w:t>Added 12-month Exponential Smoothing forecast with 95% confidence interval and shaded confidence sleeve on the main trend line chart.</w:t>
            </w:r>
          </w:p>
        </w:tc>
      </w:tr>
    </w:tbl>
    <w:p w14:paraId="1822851C" w14:textId="77777777" w:rsidR="003301C0" w:rsidRPr="007C6423" w:rsidRDefault="003301C0" w:rsidP="003301C0">
      <w:pPr>
        <w:spacing w:before="60" w:after="60"/>
        <w:jc w:val="both"/>
        <w:rPr>
          <w:rFonts w:ascii="Times New Roman" w:hAnsi="Times New Roman" w:cs="Times New Roman"/>
        </w:rPr>
      </w:pPr>
    </w:p>
    <w:p w14:paraId="7F593140"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B2.4 Commit Message Convention</w:t>
      </w:r>
    </w:p>
    <w:p w14:paraId="1BC3594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Commit messages follow a short descriptive format no longer than 72 characters, beginning with a present-tense verb. For example: 'Add YoY measure to Key Metrics table' or 'Update line chart to show </w:t>
      </w:r>
      <w:proofErr w:type="gramStart"/>
      <w:r w:rsidRPr="007C6423">
        <w:rPr>
          <w:rFonts w:ascii="Times New Roman" w:hAnsi="Times New Roman" w:cs="Times New Roman"/>
          <w:sz w:val="24"/>
          <w:szCs w:val="24"/>
        </w:rPr>
        <w:t>dual-axis</w:t>
      </w:r>
      <w:proofErr w:type="gramEnd"/>
      <w:r w:rsidRPr="007C6423">
        <w:rPr>
          <w:rFonts w:ascii="Times New Roman" w:hAnsi="Times New Roman" w:cs="Times New Roman"/>
          <w:sz w:val="24"/>
          <w:szCs w:val="24"/>
        </w:rPr>
        <w:t>'.</w:t>
      </w:r>
    </w:p>
    <w:p w14:paraId="30453B15" w14:textId="77777777" w:rsidR="003301C0" w:rsidRPr="007C6423" w:rsidRDefault="003301C0" w:rsidP="003301C0">
      <w:pPr>
        <w:spacing w:before="60" w:after="60"/>
        <w:jc w:val="both"/>
        <w:rPr>
          <w:rFonts w:ascii="Times New Roman" w:hAnsi="Times New Roman" w:cs="Times New Roman"/>
        </w:rPr>
      </w:pPr>
    </w:p>
    <w:p w14:paraId="6AF86E3E"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57AA23A7"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B3. Hosting: GitHub Pages</w:t>
      </w:r>
    </w:p>
    <w:p w14:paraId="3526A37F" w14:textId="77777777" w:rsidR="003301C0" w:rsidRPr="007C6423" w:rsidRDefault="003301C0" w:rsidP="003301C0">
      <w:pPr>
        <w:spacing w:before="60" w:after="60"/>
        <w:jc w:val="both"/>
        <w:rPr>
          <w:rFonts w:ascii="Times New Roman" w:hAnsi="Times New Roman" w:cs="Times New Roman"/>
        </w:rPr>
      </w:pPr>
    </w:p>
    <w:p w14:paraId="265B1335"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B3.1 Setup</w:t>
      </w:r>
    </w:p>
    <w:p w14:paraId="0EFCAA7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GitHub Pages was used to publish the Interim Status Reports as publicly accessible web pages. To enable it: the Pages section in repository Settings was opened, the source was set to the main branch and /docs folder, and GitHub assigned a public URL automatically.</w:t>
      </w:r>
    </w:p>
    <w:p w14:paraId="0E23E196" w14:textId="77777777" w:rsidR="003301C0" w:rsidRPr="007C6423" w:rsidRDefault="003301C0" w:rsidP="003301C0">
      <w:pPr>
        <w:spacing w:before="60" w:after="60"/>
        <w:jc w:val="both"/>
        <w:rPr>
          <w:rFonts w:ascii="Times New Roman" w:hAnsi="Times New Roman" w:cs="Times New Roman"/>
        </w:rPr>
      </w:pPr>
    </w:p>
    <w:p w14:paraId="1191E8E0"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B3.2 Interim Report Pages</w:t>
      </w:r>
    </w:p>
    <w:p w14:paraId="259F816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/docs folder is organized into three subfolders. The /Project Proposal subfolder contains both versions of the Group 8 Project Proposal Document (V1 and V2). The /Project Status Report subfolder holds the Project Status Report as an HTML file, which was published via GitHub Pages during the project. The /Project Final Report subfolder contains the Project Final Report with Addendums. No build tools or server-side processing are required to serve the HTML status report page.</w:t>
      </w:r>
    </w:p>
    <w:p w14:paraId="73338CA7" w14:textId="77777777" w:rsidR="003301C0" w:rsidRPr="007C6423" w:rsidRDefault="003301C0" w:rsidP="003301C0">
      <w:pPr>
        <w:spacing w:before="60" w:after="60"/>
        <w:jc w:val="both"/>
        <w:rPr>
          <w:rFonts w:ascii="Times New Roman" w:hAnsi="Times New Roman" w:cs="Times New Roman"/>
        </w:rPr>
      </w:pPr>
    </w:p>
    <w:p w14:paraId="1BA7CCC5"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B3.3 Update Process</w:t>
      </w:r>
    </w:p>
    <w:p w14:paraId="0F675CD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To update any document in the /docs folder, the file is edited locally, committed to the develop branch, and merged into main. GitHub Pages re-deploys the HTML status report automatically within a few minutes of the merge completing. New document versions should be placed in the appropriate subfolder using the same naming convention already in use.</w:t>
      </w:r>
    </w:p>
    <w:p w14:paraId="0B614B39" w14:textId="77777777" w:rsidR="003301C0" w:rsidRPr="007C6423" w:rsidRDefault="003301C0" w:rsidP="003301C0">
      <w:pPr>
        <w:spacing w:before="60" w:after="60"/>
        <w:jc w:val="both"/>
        <w:rPr>
          <w:rFonts w:ascii="Times New Roman" w:hAnsi="Times New Roman" w:cs="Times New Roman"/>
        </w:rPr>
      </w:pPr>
    </w:p>
    <w:p w14:paraId="2E8F7624"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t>B4. System Requirements</w:t>
      </w:r>
    </w:p>
    <w:p w14:paraId="50B411E7" w14:textId="77777777" w:rsidR="003301C0" w:rsidRPr="007C6423" w:rsidRDefault="003301C0" w:rsidP="003301C0">
      <w:pPr>
        <w:spacing w:before="60" w:after="60"/>
        <w:jc w:val="both"/>
        <w:rPr>
          <w:rFonts w:ascii="Times New Roman" w:hAnsi="Times New Roman" w:cs="Times New Roman"/>
        </w:rPr>
      </w:pPr>
    </w:p>
    <w:p w14:paraId="271FA80E"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B4.1 Software</w:t>
      </w:r>
    </w:p>
    <w:p w14:paraId="047EF276" w14:textId="77777777" w:rsidR="003301C0" w:rsidRPr="007C6423" w:rsidRDefault="003301C0" w:rsidP="003301C0">
      <w:pPr>
        <w:spacing w:before="60" w:after="60"/>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3301C0" w:rsidRPr="007C6423" w14:paraId="0215747E" w14:textId="77777777" w:rsidTr="0022653D">
        <w:trPr>
          <w:tblHeader/>
        </w:trPr>
        <w:tc>
          <w:tcPr>
            <w:tcW w:w="32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15285663"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Software</w:t>
            </w:r>
          </w:p>
        </w:tc>
        <w:tc>
          <w:tcPr>
            <w:tcW w:w="300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4786CC50"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Version</w:t>
            </w:r>
          </w:p>
        </w:tc>
        <w:tc>
          <w:tcPr>
            <w:tcW w:w="3160"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1958E352"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Purpose</w:t>
            </w:r>
          </w:p>
        </w:tc>
      </w:tr>
      <w:tr w:rsidR="003301C0" w:rsidRPr="007C6423" w14:paraId="177438A5" w14:textId="77777777" w:rsidTr="002265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22C5F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Power BI Desktop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1247F1"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March 2026 (2.151.377.0)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5EA888"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Open and edit the .</w:t>
            </w:r>
            <w:proofErr w:type="spellStart"/>
            <w:r w:rsidRPr="007C6423">
              <w:rPr>
                <w:rFonts w:ascii="Times New Roman" w:hAnsi="Times New Roman" w:cs="Times New Roman"/>
                <w:sz w:val="24"/>
                <w:szCs w:val="24"/>
              </w:rPr>
              <w:t>pbix</w:t>
            </w:r>
            <w:proofErr w:type="spellEnd"/>
            <w:r w:rsidRPr="007C6423">
              <w:rPr>
                <w:rFonts w:ascii="Times New Roman" w:hAnsi="Times New Roman" w:cs="Times New Roman"/>
                <w:sz w:val="24"/>
                <w:szCs w:val="24"/>
              </w:rPr>
              <w:t xml:space="preserve"> file.</w:t>
            </w:r>
          </w:p>
        </w:tc>
      </w:tr>
      <w:tr w:rsidR="003301C0" w:rsidRPr="007C6423" w14:paraId="52C7F35A" w14:textId="77777777" w:rsidTr="0022653D">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0ADDBDB"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Git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D854D0"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2.x or later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E3A6F2D"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Clone the repository and manage version control.</w:t>
            </w:r>
          </w:p>
        </w:tc>
      </w:tr>
      <w:tr w:rsidR="003301C0" w:rsidRPr="007C6423" w14:paraId="75A7541A" w14:textId="77777777" w:rsidTr="002265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CFB403"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Web browser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39BBA5"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Any modern browser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E079A4"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View the GitHub Pages status reports.</w:t>
            </w:r>
          </w:p>
        </w:tc>
      </w:tr>
      <w:tr w:rsidR="003301C0" w:rsidRPr="007C6423" w14:paraId="0DBA6F78" w14:textId="77777777" w:rsidTr="0022653D">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F526D3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Microsoft Excel (optional)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835D0D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2016 or later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399C8D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Open CSV data files for inspection before import.</w:t>
            </w:r>
          </w:p>
        </w:tc>
      </w:tr>
    </w:tbl>
    <w:p w14:paraId="44530B23" w14:textId="77777777" w:rsidR="003301C0" w:rsidRPr="007C6423" w:rsidRDefault="003301C0" w:rsidP="003301C0">
      <w:pPr>
        <w:spacing w:before="60" w:after="60"/>
        <w:jc w:val="both"/>
        <w:rPr>
          <w:rFonts w:ascii="Times New Roman" w:hAnsi="Times New Roman" w:cs="Times New Roman"/>
        </w:rPr>
      </w:pPr>
    </w:p>
    <w:p w14:paraId="40DF0E90"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lastRenderedPageBreak/>
        <w:t>B4.2 Operating System</w:t>
      </w:r>
    </w:p>
    <w:p w14:paraId="483E83C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Power BI Desktop is only available on Windows. The dashboard was developed and tested on Windows 11. Team members using macOS would need to run Power BI Desktop through a Windows virtual machine.</w:t>
      </w:r>
    </w:p>
    <w:p w14:paraId="21523E7D" w14:textId="77777777" w:rsidR="003301C0" w:rsidRPr="007C6423" w:rsidRDefault="003301C0" w:rsidP="003301C0">
      <w:pPr>
        <w:spacing w:before="60" w:after="60"/>
        <w:jc w:val="both"/>
        <w:rPr>
          <w:rFonts w:ascii="Times New Roman" w:hAnsi="Times New Roman" w:cs="Times New Roman"/>
        </w:rPr>
      </w:pPr>
    </w:p>
    <w:p w14:paraId="6B34090A"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B4.3 Data Refresh Frequency</w:t>
      </w:r>
    </w:p>
    <w:p w14:paraId="464BB75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current version uses a static CSV file. There is no automatic refresh schedule. To update the data: download the latest CSV from Kaggle, replace the file in /dataset, open the .</w:t>
      </w:r>
      <w:proofErr w:type="spellStart"/>
      <w:r w:rsidRPr="007C6423">
        <w:rPr>
          <w:rFonts w:ascii="Times New Roman" w:hAnsi="Times New Roman" w:cs="Times New Roman"/>
          <w:sz w:val="24"/>
          <w:szCs w:val="24"/>
        </w:rPr>
        <w:t>pbix</w:t>
      </w:r>
      <w:proofErr w:type="spellEnd"/>
      <w:r w:rsidRPr="007C6423">
        <w:rPr>
          <w:rFonts w:ascii="Times New Roman" w:hAnsi="Times New Roman" w:cs="Times New Roman"/>
          <w:sz w:val="24"/>
          <w:szCs w:val="24"/>
        </w:rPr>
        <w:t xml:space="preserve"> in Power BI Desktop, click Refresh in the Home ribbon, verify the date range, then save and commit with an incremented version number.</w:t>
      </w:r>
    </w:p>
    <w:p w14:paraId="61C5AEC4" w14:textId="77777777" w:rsidR="003301C0" w:rsidRPr="007C6423" w:rsidRDefault="003301C0" w:rsidP="003301C0">
      <w:pPr>
        <w:spacing w:before="60" w:after="60"/>
        <w:jc w:val="both"/>
        <w:rPr>
          <w:rFonts w:ascii="Times New Roman" w:hAnsi="Times New Roman" w:cs="Times New Roman"/>
        </w:rPr>
      </w:pPr>
    </w:p>
    <w:p w14:paraId="77CE8272"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B4.4 File Size and Performance Notes</w:t>
      </w:r>
    </w:p>
    <w:p w14:paraId="486F492C"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current .</w:t>
      </w:r>
      <w:proofErr w:type="spellStart"/>
      <w:r w:rsidRPr="007C6423">
        <w:rPr>
          <w:rFonts w:ascii="Times New Roman" w:hAnsi="Times New Roman" w:cs="Times New Roman"/>
          <w:sz w:val="24"/>
          <w:szCs w:val="24"/>
        </w:rPr>
        <w:t>pbix</w:t>
      </w:r>
      <w:proofErr w:type="spellEnd"/>
      <w:r w:rsidRPr="007C6423">
        <w:rPr>
          <w:rFonts w:ascii="Times New Roman" w:hAnsi="Times New Roman" w:cs="Times New Roman"/>
          <w:sz w:val="24"/>
          <w:szCs w:val="24"/>
        </w:rPr>
        <w:t xml:space="preserve"> file is approximately 170 KB. The data model uses Power BI's in-memory Vertipaq engine with XPress9 compression. Each additional year of daily records adds roughly 15 to 20 KB. If the dataset grows beyond 10 years of daily records, a query performance review using Performance Analyzer in Power BI Desktop is recommended.</w:t>
      </w:r>
    </w:p>
    <w:p w14:paraId="7056FD44" w14:textId="77777777" w:rsidR="003301C0" w:rsidRPr="007C6423" w:rsidRDefault="003301C0" w:rsidP="003301C0">
      <w:pPr>
        <w:jc w:val="both"/>
        <w:rPr>
          <w:rFonts w:ascii="Times New Roman" w:hAnsi="Times New Roman" w:cs="Times New Roman"/>
        </w:rPr>
        <w:sectPr w:rsidR="003301C0" w:rsidRPr="007C6423" w:rsidSect="003301C0">
          <w:headerReference w:type="default" r:id="rId20"/>
          <w:footerReference w:type="default" r:id="rId21"/>
          <w:pgSz w:w="12240" w:h="15840"/>
          <w:pgMar w:top="1440" w:right="1440" w:bottom="1440" w:left="1440" w:header="709" w:footer="709" w:gutter="0"/>
          <w:cols w:space="720"/>
          <w:docGrid w:linePitch="360"/>
        </w:sectPr>
      </w:pPr>
    </w:p>
    <w:p w14:paraId="543F0334" w14:textId="77777777" w:rsidR="003301C0" w:rsidRPr="007C6423" w:rsidRDefault="003301C0" w:rsidP="003301C0">
      <w:pPr>
        <w:spacing w:before="2400" w:after="480"/>
        <w:jc w:val="both"/>
        <w:rPr>
          <w:rFonts w:ascii="Times New Roman" w:hAnsi="Times New Roman" w:cs="Times New Roman"/>
          <w:sz w:val="52"/>
          <w:szCs w:val="52"/>
        </w:rPr>
      </w:pPr>
      <w:r w:rsidRPr="007C6423">
        <w:rPr>
          <w:rFonts w:ascii="Times New Roman" w:hAnsi="Times New Roman" w:cs="Times New Roman"/>
          <w:b/>
          <w:bCs/>
          <w:color w:val="B8900A"/>
          <w:sz w:val="52"/>
          <w:szCs w:val="52"/>
        </w:rPr>
        <w:lastRenderedPageBreak/>
        <w:t>Addendum C</w:t>
      </w:r>
    </w:p>
    <w:p w14:paraId="106AB224" w14:textId="77777777" w:rsidR="003301C0" w:rsidRPr="007C6423" w:rsidRDefault="003301C0" w:rsidP="003301C0">
      <w:pPr>
        <w:pBdr>
          <w:bottom w:val="single" w:sz="6" w:space="4" w:color="B8900A"/>
        </w:pBdr>
        <w:spacing w:after="240"/>
        <w:jc w:val="both"/>
        <w:rPr>
          <w:rFonts w:ascii="Times New Roman" w:hAnsi="Times New Roman" w:cs="Times New Roman"/>
          <w:sz w:val="40"/>
          <w:szCs w:val="40"/>
        </w:rPr>
      </w:pPr>
      <w:r w:rsidRPr="007C6423">
        <w:rPr>
          <w:rFonts w:ascii="Times New Roman" w:hAnsi="Times New Roman" w:cs="Times New Roman"/>
          <w:b/>
          <w:bCs/>
          <w:color w:val="1F3864"/>
          <w:sz w:val="40"/>
          <w:szCs w:val="40"/>
        </w:rPr>
        <w:t>User Requirements &amp; Analysis</w:t>
      </w:r>
    </w:p>
    <w:p w14:paraId="6840D728" w14:textId="77777777" w:rsidR="003301C0" w:rsidRPr="007C6423" w:rsidRDefault="003301C0" w:rsidP="003301C0">
      <w:pPr>
        <w:spacing w:before="60" w:after="60"/>
        <w:jc w:val="both"/>
        <w:rPr>
          <w:rFonts w:ascii="Times New Roman" w:hAnsi="Times New Roman" w:cs="Times New Roman"/>
        </w:rPr>
      </w:pPr>
    </w:p>
    <w:p w14:paraId="1A8B0FB2" w14:textId="77777777" w:rsidR="003301C0" w:rsidRPr="007C6423" w:rsidRDefault="003301C0" w:rsidP="003301C0">
      <w:pPr>
        <w:spacing w:before="60" w:after="60"/>
        <w:jc w:val="both"/>
        <w:rPr>
          <w:rFonts w:ascii="Times New Roman" w:hAnsi="Times New Roman" w:cs="Times New Roman"/>
        </w:rPr>
      </w:pPr>
    </w:p>
    <w:p w14:paraId="63E5E44C"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555555"/>
          <w:sz w:val="24"/>
          <w:szCs w:val="24"/>
        </w:rPr>
        <w:t>Gold Price Analytics Dashboard</w:t>
      </w:r>
    </w:p>
    <w:p w14:paraId="05742023"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888888"/>
          <w:sz w:val="24"/>
          <w:szCs w:val="24"/>
        </w:rPr>
        <w:t>March 2026</w:t>
      </w:r>
    </w:p>
    <w:p w14:paraId="5301A11A"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008E39BE"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C1. Problem Statement</w:t>
      </w:r>
    </w:p>
    <w:p w14:paraId="6B49D29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Gold is widely recognized as a hedge against inflation and a safe-haven asset during periods of economic uncertainty. Investors and financial analysts rely on gold to preserve value when markets are volatile or when the purchasing power of currency declines. A ten-year dataset from 2016 to 2026 allows users to analyze multiple economic cycles, including periods of stability, crisis, and recovery.</w:t>
      </w:r>
    </w:p>
    <w:p w14:paraId="0A20B6E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2415D59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From a portfolio management perspective, understanding long-term trends in gold prices is essential for risk management and asset allocation. Institutional investors often allocate a portion of their portfolio to gold to reduce exposure to market fluctuations in equities and bonds.</w:t>
      </w:r>
    </w:p>
    <w:p w14:paraId="74B016F6"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226DC70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Analyzing only short-term data, such as one or two years, can lead to incomplete conclusions, as it does not capture full market cycles or major economic events. A longer dataset provides a more accurate representation of gold price behavior.</w:t>
      </w:r>
    </w:p>
    <w:p w14:paraId="6879A53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1DC4465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Traditional spreadsheet-based analysis is limited in handling large datasets and lacks interactive capabilities. In contrast, visual analytics tools such as Microsoft Power BI allow users to explore data dynamically, apply filters, and analyze trends through interactive visualizations, making the analysis more efficient and insightful.</w:t>
      </w:r>
    </w:p>
    <w:p w14:paraId="0DCB27CA"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45C21BFE"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C2. Persona Identification</w:t>
      </w:r>
    </w:p>
    <w:p w14:paraId="42B8AE2C" w14:textId="77777777" w:rsidR="003301C0" w:rsidRPr="007C6423" w:rsidRDefault="003301C0" w:rsidP="003301C0">
      <w:pPr>
        <w:spacing w:before="60" w:after="60"/>
        <w:jc w:val="both"/>
        <w:rPr>
          <w:rFonts w:ascii="Times New Roman" w:hAnsi="Times New Roman" w:cs="Times New Roman"/>
        </w:rPr>
      </w:pPr>
    </w:p>
    <w:p w14:paraId="41FEB217"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C2.1 Persona 1: The Institutional Investor</w:t>
      </w:r>
    </w:p>
    <w:p w14:paraId="6302E99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Name:</w:t>
      </w:r>
      <w:r w:rsidRPr="007C6423">
        <w:rPr>
          <w:rFonts w:ascii="Times New Roman" w:hAnsi="Times New Roman" w:cs="Times New Roman"/>
          <w:sz w:val="24"/>
          <w:szCs w:val="24"/>
        </w:rPr>
        <w:t xml:space="preserve"> Sarah Chen</w:t>
      </w:r>
    </w:p>
    <w:p w14:paraId="01C8C39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Role:</w:t>
      </w:r>
      <w:r w:rsidRPr="007C6423">
        <w:rPr>
          <w:rFonts w:ascii="Times New Roman" w:hAnsi="Times New Roman" w:cs="Times New Roman"/>
          <w:sz w:val="24"/>
          <w:szCs w:val="24"/>
        </w:rPr>
        <w:t xml:space="preserve"> Portfolio Manager</w:t>
      </w:r>
    </w:p>
    <w:p w14:paraId="0E03468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2EB4788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Sarah Chen manages a diversified investment portfolio that includes stocks, bonds, and commodities. She allocates approximately 5–15% of her portfolio to gold as a hedge against inflation and market volatility.</w:t>
      </w:r>
    </w:p>
    <w:p w14:paraId="5C802C8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3C39294F"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Goals:</w:t>
      </w:r>
      <w:r w:rsidRPr="007C6423">
        <w:rPr>
          <w:rFonts w:ascii="Times New Roman" w:hAnsi="Times New Roman" w:cs="Times New Roman"/>
          <w:sz w:val="24"/>
          <w:szCs w:val="24"/>
        </w:rPr>
        <w:t xml:space="preserve"> She aims to analyze long-term trends, evaluate annual performance, and identify future market direction to make informed investment decisions.</w:t>
      </w:r>
    </w:p>
    <w:p w14:paraId="77F2959C"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306280A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Pain Points:</w:t>
      </w:r>
      <w:r w:rsidRPr="007C6423">
        <w:rPr>
          <w:rFonts w:ascii="Times New Roman" w:hAnsi="Times New Roman" w:cs="Times New Roman"/>
          <w:sz w:val="24"/>
          <w:szCs w:val="24"/>
        </w:rPr>
        <w:t xml:space="preserve"> Traditional Excel-based reports are static, time-consuming to update, and lack interactive features, making it difficult to analyze trends efficiently.</w:t>
      </w:r>
    </w:p>
    <w:p w14:paraId="4DEF423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6ECB275E"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Needs from Dashboard:</w:t>
      </w:r>
      <w:r w:rsidRPr="007C6423">
        <w:rPr>
          <w:rFonts w:ascii="Times New Roman" w:hAnsi="Times New Roman" w:cs="Times New Roman"/>
          <w:sz w:val="24"/>
          <w:szCs w:val="24"/>
        </w:rPr>
        <w:t xml:space="preserve"> Sarah requires quick access to key metrics such as YoY percentage change and moving averages, as well as the trend line chart for direction and the forecast zone for forward price risk planning.</w:t>
      </w:r>
    </w:p>
    <w:p w14:paraId="02B22BA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084050F3" w14:textId="77777777" w:rsidR="003301C0" w:rsidRPr="007C6423" w:rsidRDefault="003301C0" w:rsidP="003301C0">
      <w:pPr>
        <w:spacing w:before="60" w:after="60"/>
        <w:jc w:val="both"/>
        <w:rPr>
          <w:rFonts w:ascii="Times New Roman" w:hAnsi="Times New Roman" w:cs="Times New Roman"/>
          <w:b/>
          <w:bCs/>
          <w:sz w:val="24"/>
          <w:szCs w:val="24"/>
        </w:rPr>
      </w:pPr>
      <w:r w:rsidRPr="007C6423">
        <w:rPr>
          <w:rFonts w:ascii="Times New Roman" w:hAnsi="Times New Roman" w:cs="Times New Roman"/>
          <w:b/>
          <w:bCs/>
          <w:sz w:val="24"/>
          <w:szCs w:val="24"/>
        </w:rPr>
        <w:t>Key Interactions:</w:t>
      </w:r>
    </w:p>
    <w:p w14:paraId="266E3A1F" w14:textId="77777777" w:rsidR="003301C0" w:rsidRPr="007C6423" w:rsidRDefault="003301C0" w:rsidP="003301C0">
      <w:pPr>
        <w:pStyle w:val="ListParagraph"/>
        <w:numPr>
          <w:ilvl w:val="0"/>
          <w:numId w:val="5"/>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Uses the Year slicer to compare different time periods</w:t>
      </w:r>
    </w:p>
    <w:p w14:paraId="6DB87870" w14:textId="77777777" w:rsidR="003301C0" w:rsidRPr="007C6423" w:rsidRDefault="003301C0" w:rsidP="003301C0">
      <w:pPr>
        <w:pStyle w:val="ListParagraph"/>
        <w:numPr>
          <w:ilvl w:val="0"/>
          <w:numId w:val="5"/>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Analyzes the line chart to observe trends</w:t>
      </w:r>
    </w:p>
    <w:p w14:paraId="58F152B1" w14:textId="77777777" w:rsidR="003301C0" w:rsidRPr="007C6423" w:rsidRDefault="003301C0" w:rsidP="003301C0">
      <w:pPr>
        <w:pStyle w:val="ListParagraph"/>
        <w:numPr>
          <w:ilvl w:val="0"/>
          <w:numId w:val="5"/>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Uses KPI cards for quick insights</w:t>
      </w:r>
    </w:p>
    <w:p w14:paraId="3CFE250C" w14:textId="77777777" w:rsidR="003301C0" w:rsidRPr="007C6423" w:rsidRDefault="003301C0" w:rsidP="003301C0">
      <w:pPr>
        <w:rPr>
          <w:rFonts w:ascii="Times New Roman" w:hAnsi="Times New Roman" w:cs="Times New Roman"/>
          <w:b/>
          <w:bCs/>
          <w:color w:val="B8900A"/>
        </w:rPr>
      </w:pPr>
      <w:r w:rsidRPr="007C6423">
        <w:rPr>
          <w:rFonts w:ascii="Times New Roman" w:hAnsi="Times New Roman" w:cs="Times New Roman"/>
          <w:b/>
          <w:bCs/>
          <w:color w:val="B8900A"/>
        </w:rPr>
        <w:br w:type="page"/>
      </w:r>
    </w:p>
    <w:p w14:paraId="7CE0018A"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lastRenderedPageBreak/>
        <w:t>C2.2 Persona 2: The Academic Researcher</w:t>
      </w:r>
    </w:p>
    <w:p w14:paraId="38A81693"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Name:</w:t>
      </w:r>
      <w:r w:rsidRPr="007C6423">
        <w:rPr>
          <w:rFonts w:ascii="Times New Roman" w:hAnsi="Times New Roman" w:cs="Times New Roman"/>
          <w:sz w:val="24"/>
          <w:szCs w:val="24"/>
        </w:rPr>
        <w:t xml:space="preserve"> Dr. James Osei</w:t>
      </w:r>
    </w:p>
    <w:p w14:paraId="2376E09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Role:</w:t>
      </w:r>
      <w:r w:rsidRPr="007C6423">
        <w:rPr>
          <w:rFonts w:ascii="Times New Roman" w:hAnsi="Times New Roman" w:cs="Times New Roman"/>
          <w:sz w:val="24"/>
          <w:szCs w:val="24"/>
        </w:rPr>
        <w:t xml:space="preserve"> Economics Researcher</w:t>
      </w:r>
    </w:p>
    <w:p w14:paraId="2292DCDF"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77300C95"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Dr. Osei studies the behavior of commodity prices during economic events such as financial crises and inflationary periods.</w:t>
      </w:r>
    </w:p>
    <w:p w14:paraId="095FAB7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3641A6F5" w14:textId="77777777" w:rsidR="003301C0" w:rsidRPr="007C6423" w:rsidRDefault="003301C0" w:rsidP="003301C0">
      <w:pPr>
        <w:spacing w:before="60" w:after="60"/>
        <w:jc w:val="both"/>
        <w:rPr>
          <w:rFonts w:ascii="Times New Roman" w:hAnsi="Times New Roman" w:cs="Times New Roman"/>
          <w:b/>
          <w:bCs/>
          <w:sz w:val="24"/>
          <w:szCs w:val="24"/>
        </w:rPr>
      </w:pPr>
      <w:r w:rsidRPr="007C6423">
        <w:rPr>
          <w:rFonts w:ascii="Times New Roman" w:hAnsi="Times New Roman" w:cs="Times New Roman"/>
          <w:b/>
          <w:bCs/>
          <w:sz w:val="24"/>
          <w:szCs w:val="24"/>
        </w:rPr>
        <w:t xml:space="preserve">Goals: </w:t>
      </w:r>
      <w:r w:rsidRPr="007C6423">
        <w:rPr>
          <w:rFonts w:ascii="Times New Roman" w:hAnsi="Times New Roman" w:cs="Times New Roman"/>
          <w:sz w:val="24"/>
          <w:szCs w:val="24"/>
        </w:rPr>
        <w:t>He aims to analyze historical trends, compare different time periods, and study the impact of economic events on gold prices.</w:t>
      </w:r>
    </w:p>
    <w:p w14:paraId="0FAEDDB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427CB815"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Pain Points:</w:t>
      </w:r>
      <w:r w:rsidRPr="007C6423">
        <w:rPr>
          <w:rFonts w:ascii="Times New Roman" w:hAnsi="Times New Roman" w:cs="Times New Roman"/>
          <w:sz w:val="24"/>
          <w:szCs w:val="24"/>
        </w:rPr>
        <w:t xml:space="preserve"> Data analysis using traditional tools requires extensive preprocessing and manual visualization, which is time-consuming.</w:t>
      </w:r>
    </w:p>
    <w:p w14:paraId="45AEC81C"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5D3FA2C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Needs from Dashboard:</w:t>
      </w:r>
      <w:r w:rsidRPr="007C6423">
        <w:rPr>
          <w:rFonts w:ascii="Times New Roman" w:hAnsi="Times New Roman" w:cs="Times New Roman"/>
          <w:sz w:val="24"/>
          <w:szCs w:val="24"/>
        </w:rPr>
        <w:t xml:space="preserve"> He needs access to detailed data, filtering options, and visual tools to analyze trends effectively.</w:t>
      </w:r>
    </w:p>
    <w:p w14:paraId="6D548681"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5EB8F760" w14:textId="77777777" w:rsidR="003301C0" w:rsidRPr="007C6423" w:rsidRDefault="003301C0" w:rsidP="003301C0">
      <w:pPr>
        <w:spacing w:before="60" w:after="60"/>
        <w:jc w:val="both"/>
        <w:rPr>
          <w:rFonts w:ascii="Times New Roman" w:hAnsi="Times New Roman" w:cs="Times New Roman"/>
          <w:b/>
          <w:bCs/>
          <w:sz w:val="24"/>
          <w:szCs w:val="24"/>
        </w:rPr>
      </w:pPr>
      <w:r w:rsidRPr="007C6423">
        <w:rPr>
          <w:rFonts w:ascii="Times New Roman" w:hAnsi="Times New Roman" w:cs="Times New Roman"/>
          <w:b/>
          <w:bCs/>
          <w:sz w:val="24"/>
          <w:szCs w:val="24"/>
        </w:rPr>
        <w:t>Key Interactions:</w:t>
      </w:r>
    </w:p>
    <w:p w14:paraId="78F70918" w14:textId="77777777" w:rsidR="003301C0" w:rsidRPr="007C6423" w:rsidRDefault="003301C0" w:rsidP="003301C0">
      <w:pPr>
        <w:pStyle w:val="ListParagraph"/>
        <w:numPr>
          <w:ilvl w:val="0"/>
          <w:numId w:val="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Uses Year slicer for filtering</w:t>
      </w:r>
    </w:p>
    <w:p w14:paraId="3824DB26" w14:textId="77777777" w:rsidR="003301C0" w:rsidRPr="007C6423" w:rsidRDefault="003301C0" w:rsidP="003301C0">
      <w:pPr>
        <w:pStyle w:val="ListParagraph"/>
        <w:numPr>
          <w:ilvl w:val="0"/>
          <w:numId w:val="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Uses matrix for detailed breakdown</w:t>
      </w:r>
    </w:p>
    <w:p w14:paraId="78F81D30" w14:textId="77777777" w:rsidR="003301C0" w:rsidRPr="007C6423" w:rsidRDefault="003301C0" w:rsidP="003301C0">
      <w:pPr>
        <w:pStyle w:val="ListParagraph"/>
        <w:numPr>
          <w:ilvl w:val="0"/>
          <w:numId w:val="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Uses YoY table for comparisons</w:t>
      </w:r>
    </w:p>
    <w:p w14:paraId="6184B937"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3BC259B5"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C3. Functional Needs</w:t>
      </w:r>
    </w:p>
    <w:p w14:paraId="29F84FB8" w14:textId="77777777" w:rsidR="003301C0" w:rsidRPr="007C6423" w:rsidRDefault="003301C0" w:rsidP="003301C0">
      <w:pPr>
        <w:spacing w:before="60" w:after="60"/>
        <w:jc w:val="both"/>
        <w:rPr>
          <w:rFonts w:ascii="Times New Roman" w:hAnsi="Times New Roman" w:cs="Times New Roman"/>
        </w:rPr>
      </w:pPr>
    </w:p>
    <w:p w14:paraId="36170CF4"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C3.1 Must-Have Interactions</w:t>
      </w:r>
    </w:p>
    <w:p w14:paraId="2D58AE94"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Users must be able to filter the dashboard by year using the Year slicer</w:t>
      </w:r>
    </w:p>
    <w:p w14:paraId="3E2E379C"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Users must be able to view the 30-Day Moving Average alongside actual price trends</w:t>
      </w:r>
    </w:p>
    <w:p w14:paraId="0E183F54"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Users must be able to view key performance indicators such as YoY %, maximum price, and minimum price</w:t>
      </w:r>
    </w:p>
    <w:p w14:paraId="53424352"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Users must be able to drill down from year to quarter, month, and day</w:t>
      </w:r>
    </w:p>
    <w:p w14:paraId="301D7768"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Users must be able to analyze specific time periods (e.g., 2020 COVID spike)</w:t>
      </w:r>
    </w:p>
    <w:p w14:paraId="757AA9B8"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Users must be able to view the 12-month price forecast with a confidence interval band to assess forward price risk</w:t>
      </w:r>
    </w:p>
    <w:p w14:paraId="7DCDE8FB"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Users must be able to access the underlying data in tabular form for review or further analysis</w:t>
      </w:r>
    </w:p>
    <w:p w14:paraId="5F6FF006" w14:textId="77777777" w:rsidR="003301C0" w:rsidRPr="007C6423" w:rsidRDefault="003301C0" w:rsidP="003301C0">
      <w:pPr>
        <w:pStyle w:val="Heading2"/>
        <w:spacing w:before="240" w:after="120"/>
        <w:jc w:val="both"/>
        <w:rPr>
          <w:rFonts w:ascii="Times New Roman" w:hAnsi="Times New Roman" w:cs="Times New Roman"/>
          <w:sz w:val="22"/>
          <w:szCs w:val="22"/>
        </w:rPr>
      </w:pPr>
      <w:r w:rsidRPr="007C6423">
        <w:rPr>
          <w:rFonts w:ascii="Times New Roman" w:hAnsi="Times New Roman" w:cs="Times New Roman"/>
          <w:sz w:val="22"/>
          <w:szCs w:val="22"/>
        </w:rPr>
        <w:br/>
      </w:r>
      <w:r w:rsidRPr="007C6423">
        <w:rPr>
          <w:rFonts w:ascii="Times New Roman" w:hAnsi="Times New Roman" w:cs="Times New Roman"/>
          <w:b/>
          <w:bCs/>
          <w:color w:val="B8900A"/>
          <w:sz w:val="24"/>
          <w:szCs w:val="24"/>
        </w:rPr>
        <w:t>C3.2 Nice-to-Have Features</w:t>
      </w:r>
    </w:p>
    <w:p w14:paraId="64580658"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Integration with live data sources such as Yahoo Finance API</w:t>
      </w:r>
    </w:p>
    <w:p w14:paraId="1FF85AF4"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Currency conversion (USD to other currencies)</w:t>
      </w:r>
    </w:p>
    <w:p w14:paraId="15C5F538"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Annotation of major economic events on charts</w:t>
      </w:r>
    </w:p>
    <w:p w14:paraId="665D301F" w14:textId="77777777" w:rsidR="003301C0" w:rsidRPr="007C6423" w:rsidRDefault="003301C0" w:rsidP="003301C0">
      <w:pPr>
        <w:pStyle w:val="ListParagraph"/>
        <w:numPr>
          <w:ilvl w:val="0"/>
          <w:numId w:val="7"/>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Mobile-friendly dashboard design</w:t>
      </w:r>
    </w:p>
    <w:p w14:paraId="200BF9BE" w14:textId="77777777" w:rsidR="003301C0" w:rsidRPr="007C6423" w:rsidRDefault="003301C0" w:rsidP="003301C0">
      <w:pPr>
        <w:spacing w:before="60" w:after="60"/>
        <w:jc w:val="both"/>
        <w:rPr>
          <w:rFonts w:ascii="Times New Roman" w:hAnsi="Times New Roman" w:cs="Times New Roman"/>
        </w:rPr>
      </w:pPr>
    </w:p>
    <w:p w14:paraId="0678B7C2" w14:textId="77777777" w:rsidR="003301C0" w:rsidRPr="007C6423" w:rsidRDefault="003301C0" w:rsidP="003301C0">
      <w:pPr>
        <w:spacing w:before="60" w:after="60"/>
        <w:jc w:val="both"/>
        <w:rPr>
          <w:rFonts w:ascii="Times New Roman" w:hAnsi="Times New Roman" w:cs="Times New Roman"/>
        </w:rPr>
      </w:pPr>
      <w:r w:rsidRPr="007C6423">
        <w:rPr>
          <w:rFonts w:ascii="Times New Roman" w:hAnsi="Times New Roman" w:cs="Times New Roman"/>
        </w:rPr>
        <w:br w:type="page"/>
      </w:r>
    </w:p>
    <w:p w14:paraId="602E36C3"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C4. Data Sourcing</w:t>
      </w:r>
    </w:p>
    <w:p w14:paraId="67F7B3E6" w14:textId="77777777" w:rsidR="003301C0" w:rsidRPr="007C6423" w:rsidRDefault="003301C0" w:rsidP="003301C0">
      <w:pPr>
        <w:spacing w:before="60" w:after="60"/>
        <w:jc w:val="both"/>
        <w:rPr>
          <w:rFonts w:ascii="Times New Roman" w:hAnsi="Times New Roman" w:cs="Times New Roman"/>
        </w:rPr>
      </w:pPr>
    </w:p>
    <w:p w14:paraId="24BD6F53"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C4.1 Primary Source: Kaggle Gold Historical Dataset</w:t>
      </w:r>
    </w:p>
    <w:p w14:paraId="126484CB"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primary dataset used in this project is the “Gold Price Analysis – 10 Year Historical Data” obtained from Kaggle (https://www.kaggle.com/datasets/). It covers daily gold price records from January 2016 to March 2026.</w:t>
      </w:r>
    </w:p>
    <w:p w14:paraId="354717B8"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0365BBA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dataset includes the following fields:</w:t>
      </w:r>
    </w:p>
    <w:p w14:paraId="70DB8B11" w14:textId="77777777" w:rsidR="003301C0" w:rsidRPr="007C6423" w:rsidRDefault="003301C0" w:rsidP="003301C0">
      <w:pPr>
        <w:pStyle w:val="ListParagraph"/>
        <w:numPr>
          <w:ilvl w:val="0"/>
          <w:numId w:val="1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Date</w:t>
      </w:r>
    </w:p>
    <w:p w14:paraId="3172EFE1" w14:textId="77777777" w:rsidR="003301C0" w:rsidRPr="007C6423" w:rsidRDefault="003301C0" w:rsidP="003301C0">
      <w:pPr>
        <w:pStyle w:val="ListParagraph"/>
        <w:numPr>
          <w:ilvl w:val="0"/>
          <w:numId w:val="1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Open</w:t>
      </w:r>
    </w:p>
    <w:p w14:paraId="21696960" w14:textId="77777777" w:rsidR="003301C0" w:rsidRPr="007C6423" w:rsidRDefault="003301C0" w:rsidP="003301C0">
      <w:pPr>
        <w:pStyle w:val="ListParagraph"/>
        <w:numPr>
          <w:ilvl w:val="0"/>
          <w:numId w:val="1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High</w:t>
      </w:r>
    </w:p>
    <w:p w14:paraId="63FC4B29" w14:textId="77777777" w:rsidR="003301C0" w:rsidRPr="007C6423" w:rsidRDefault="003301C0" w:rsidP="003301C0">
      <w:pPr>
        <w:pStyle w:val="ListParagraph"/>
        <w:numPr>
          <w:ilvl w:val="0"/>
          <w:numId w:val="1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Low</w:t>
      </w:r>
    </w:p>
    <w:p w14:paraId="60DC4214" w14:textId="77777777" w:rsidR="003301C0" w:rsidRPr="007C6423" w:rsidRDefault="003301C0" w:rsidP="003301C0">
      <w:pPr>
        <w:pStyle w:val="ListParagraph"/>
        <w:numPr>
          <w:ilvl w:val="0"/>
          <w:numId w:val="1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Close</w:t>
      </w:r>
    </w:p>
    <w:p w14:paraId="7CDFDF77" w14:textId="77777777" w:rsidR="003301C0" w:rsidRPr="007C6423" w:rsidRDefault="003301C0" w:rsidP="003301C0">
      <w:pPr>
        <w:pStyle w:val="ListParagraph"/>
        <w:numPr>
          <w:ilvl w:val="0"/>
          <w:numId w:val="1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Adjusted Close</w:t>
      </w:r>
    </w:p>
    <w:p w14:paraId="338CCF25" w14:textId="77777777" w:rsidR="003301C0" w:rsidRPr="007C6423" w:rsidRDefault="003301C0" w:rsidP="003301C0">
      <w:pPr>
        <w:pStyle w:val="ListParagraph"/>
        <w:numPr>
          <w:ilvl w:val="0"/>
          <w:numId w:val="16"/>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Volume</w:t>
      </w:r>
    </w:p>
    <w:p w14:paraId="3BF37C1C"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06ED0475"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The dataset is provided in CSV format and is suitable for time-series analysis. It is published under a license that permits academic and educational use. The data is sourced from publicly available financial market </w:t>
      </w:r>
      <w:proofErr w:type="gramStart"/>
      <w:r w:rsidRPr="007C6423">
        <w:rPr>
          <w:rFonts w:ascii="Times New Roman" w:hAnsi="Times New Roman" w:cs="Times New Roman"/>
          <w:sz w:val="24"/>
          <w:szCs w:val="24"/>
        </w:rPr>
        <w:t>records</w:t>
      </w:r>
      <w:proofErr w:type="gramEnd"/>
      <w:r w:rsidRPr="007C6423">
        <w:rPr>
          <w:rFonts w:ascii="Times New Roman" w:hAnsi="Times New Roman" w:cs="Times New Roman"/>
          <w:sz w:val="24"/>
          <w:szCs w:val="24"/>
        </w:rPr>
        <w:t xml:space="preserve"> and no material gaps or anomalies were found during the initial review.</w:t>
      </w:r>
    </w:p>
    <w:p w14:paraId="4DD0BE84" w14:textId="77777777" w:rsidR="003301C0" w:rsidRPr="007C6423" w:rsidRDefault="003301C0" w:rsidP="003301C0">
      <w:pPr>
        <w:pStyle w:val="Heading2"/>
        <w:spacing w:before="240" w:after="120"/>
        <w:jc w:val="both"/>
        <w:rPr>
          <w:rFonts w:ascii="Times New Roman" w:hAnsi="Times New Roman" w:cs="Times New Roman"/>
          <w:b/>
          <w:bCs/>
          <w:color w:val="B8900A"/>
          <w:sz w:val="22"/>
          <w:szCs w:val="22"/>
        </w:rPr>
      </w:pPr>
    </w:p>
    <w:p w14:paraId="5C29A8C4"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C4.2 Validation Source: Yahoo Finance</w:t>
      </w:r>
    </w:p>
    <w:p w14:paraId="453C46B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dataset was validated using Yahoo Finance, specifically the gold futures ticker GC=F.</w:t>
      </w:r>
    </w:p>
    <w:p w14:paraId="34728AD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29452D34"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validation process involved comparing daily closing prices between the Kaggle dataset and Yahoo Finance data. Any discrepancies greater than 0.5% were reviewed.</w:t>
      </w:r>
    </w:p>
    <w:p w14:paraId="5DE3E83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0B50C5BA"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validation confirmed that the dataset is accurate and suitable for analysis. The Yahoo Finance data was used only for validation and not included in the final dashboard.</w:t>
      </w:r>
    </w:p>
    <w:p w14:paraId="34BE1D14" w14:textId="77777777" w:rsidR="003301C0" w:rsidRPr="007C6423" w:rsidRDefault="003301C0" w:rsidP="003301C0">
      <w:pPr>
        <w:spacing w:before="60" w:after="60"/>
        <w:jc w:val="both"/>
        <w:rPr>
          <w:rFonts w:ascii="Times New Roman" w:hAnsi="Times New Roman" w:cs="Times New Roman"/>
          <w:sz w:val="24"/>
          <w:szCs w:val="24"/>
        </w:rPr>
      </w:pPr>
    </w:p>
    <w:p w14:paraId="7C6E5E0E"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C4.3 Data Reliability Assessment</w:t>
      </w:r>
    </w:p>
    <w:p w14:paraId="311B3E77"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data used in this project is reliable as it comes from reputable sources such as Kaggle and Yahoo Finance. These platforms are widely used in financial research and analysis.</w:t>
      </w:r>
    </w:p>
    <w:p w14:paraId="7D382CF9"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6F22532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While historical data is useful for identifying trends, it may not fully predict future movements due to changing market conditions. However, the use of multiple data sources and validation techniques increases confidence in the dataset’s accuracy.</w:t>
      </w:r>
    </w:p>
    <w:p w14:paraId="12DDD5D1" w14:textId="77777777" w:rsidR="003301C0" w:rsidRPr="007C6423" w:rsidRDefault="003301C0" w:rsidP="003301C0">
      <w:pPr>
        <w:jc w:val="both"/>
        <w:rPr>
          <w:rFonts w:ascii="Times New Roman" w:hAnsi="Times New Roman" w:cs="Times New Roman"/>
        </w:rPr>
        <w:sectPr w:rsidR="003301C0" w:rsidRPr="007C6423" w:rsidSect="003301C0">
          <w:headerReference w:type="default" r:id="rId22"/>
          <w:footerReference w:type="default" r:id="rId23"/>
          <w:pgSz w:w="12240" w:h="15840"/>
          <w:pgMar w:top="1440" w:right="1440" w:bottom="1440" w:left="1440" w:header="709" w:footer="709" w:gutter="0"/>
          <w:cols w:space="720"/>
          <w:docGrid w:linePitch="360"/>
        </w:sectPr>
      </w:pPr>
    </w:p>
    <w:p w14:paraId="63607F20" w14:textId="77777777" w:rsidR="003301C0" w:rsidRPr="007C6423" w:rsidRDefault="003301C0" w:rsidP="003301C0">
      <w:pPr>
        <w:spacing w:before="2400" w:after="480"/>
        <w:jc w:val="both"/>
        <w:rPr>
          <w:rFonts w:ascii="Times New Roman" w:hAnsi="Times New Roman" w:cs="Times New Roman"/>
          <w:sz w:val="52"/>
          <w:szCs w:val="52"/>
        </w:rPr>
      </w:pPr>
      <w:r w:rsidRPr="007C6423">
        <w:rPr>
          <w:rFonts w:ascii="Times New Roman" w:hAnsi="Times New Roman" w:cs="Times New Roman"/>
          <w:b/>
          <w:bCs/>
          <w:color w:val="B8900A"/>
          <w:sz w:val="52"/>
          <w:szCs w:val="52"/>
        </w:rPr>
        <w:lastRenderedPageBreak/>
        <w:t>Addendum D</w:t>
      </w:r>
    </w:p>
    <w:p w14:paraId="07F9E46B" w14:textId="77777777" w:rsidR="003301C0" w:rsidRPr="007C6423" w:rsidRDefault="003301C0" w:rsidP="003301C0">
      <w:pPr>
        <w:pBdr>
          <w:bottom w:val="single" w:sz="6" w:space="4" w:color="B8900A"/>
        </w:pBdr>
        <w:spacing w:after="240"/>
        <w:jc w:val="both"/>
        <w:rPr>
          <w:rFonts w:ascii="Times New Roman" w:hAnsi="Times New Roman" w:cs="Times New Roman"/>
          <w:sz w:val="40"/>
          <w:szCs w:val="40"/>
        </w:rPr>
      </w:pPr>
      <w:r w:rsidRPr="007C6423">
        <w:rPr>
          <w:rFonts w:ascii="Times New Roman" w:hAnsi="Times New Roman" w:cs="Times New Roman"/>
          <w:b/>
          <w:bCs/>
          <w:color w:val="1F3864"/>
          <w:sz w:val="40"/>
          <w:szCs w:val="40"/>
        </w:rPr>
        <w:t>User Guide</w:t>
      </w:r>
    </w:p>
    <w:p w14:paraId="18BC7EAB" w14:textId="77777777" w:rsidR="003301C0" w:rsidRPr="007C6423" w:rsidRDefault="003301C0" w:rsidP="003301C0">
      <w:pPr>
        <w:spacing w:before="60" w:after="60"/>
        <w:jc w:val="both"/>
        <w:rPr>
          <w:rFonts w:ascii="Times New Roman" w:hAnsi="Times New Roman" w:cs="Times New Roman"/>
        </w:rPr>
      </w:pPr>
    </w:p>
    <w:p w14:paraId="12541687" w14:textId="77777777" w:rsidR="003301C0" w:rsidRPr="007C6423" w:rsidRDefault="003301C0" w:rsidP="003301C0">
      <w:pPr>
        <w:spacing w:before="60" w:after="60"/>
        <w:jc w:val="both"/>
        <w:rPr>
          <w:rFonts w:ascii="Times New Roman" w:hAnsi="Times New Roman" w:cs="Times New Roman"/>
        </w:rPr>
      </w:pPr>
    </w:p>
    <w:p w14:paraId="3EF0F98E"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555555"/>
          <w:sz w:val="24"/>
          <w:szCs w:val="24"/>
        </w:rPr>
        <w:t>Gold Price Analytics Dashboard</w:t>
      </w:r>
    </w:p>
    <w:p w14:paraId="3DA2A57C" w14:textId="77777777" w:rsidR="003301C0" w:rsidRPr="007C6423" w:rsidRDefault="003301C0" w:rsidP="003301C0">
      <w:pPr>
        <w:spacing w:after="120"/>
        <w:jc w:val="both"/>
        <w:rPr>
          <w:rFonts w:ascii="Times New Roman" w:hAnsi="Times New Roman" w:cs="Times New Roman"/>
          <w:sz w:val="24"/>
          <w:szCs w:val="24"/>
        </w:rPr>
      </w:pPr>
      <w:r w:rsidRPr="007C6423">
        <w:rPr>
          <w:rFonts w:ascii="Times New Roman" w:hAnsi="Times New Roman" w:cs="Times New Roman"/>
          <w:color w:val="888888"/>
          <w:sz w:val="24"/>
          <w:szCs w:val="24"/>
        </w:rPr>
        <w:t>March 2026</w:t>
      </w:r>
    </w:p>
    <w:p w14:paraId="23B36B47"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3527457B"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D1. Interface Map</w:t>
      </w:r>
    </w:p>
    <w:p w14:paraId="3EA14C7C" w14:textId="77777777" w:rsidR="003301C0" w:rsidRPr="007C6423" w:rsidRDefault="003301C0" w:rsidP="003301C0">
      <w:pPr>
        <w:spacing w:before="60" w:after="60"/>
        <w:jc w:val="both"/>
        <w:rPr>
          <w:rFonts w:ascii="Times New Roman" w:hAnsi="Times New Roman" w:cs="Times New Roman"/>
        </w:rPr>
      </w:pPr>
    </w:p>
    <w:p w14:paraId="4D0011DB"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D1.1 Dashboard Layout Overview</w:t>
      </w:r>
    </w:p>
    <w:p w14:paraId="16B9CC1D"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dashboard is designed with a clear and structured layout to ensure ease of use. It includes key components such as a Year slicer, KPI cards, a trend line chart, and tabular views.</w:t>
      </w:r>
    </w:p>
    <w:p w14:paraId="70D827EF"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 xml:space="preserve"> </w:t>
      </w:r>
    </w:p>
    <w:p w14:paraId="2F80ECE4" w14:textId="77777777" w:rsidR="003301C0" w:rsidRPr="007C6423" w:rsidRDefault="003301C0" w:rsidP="003301C0">
      <w:pPr>
        <w:spacing w:before="60" w:after="60"/>
        <w:jc w:val="both"/>
        <w:rPr>
          <w:rFonts w:ascii="Times New Roman" w:hAnsi="Times New Roman" w:cs="Times New Roman"/>
          <w:b/>
          <w:bCs/>
          <w:sz w:val="24"/>
          <w:szCs w:val="24"/>
        </w:rPr>
      </w:pPr>
      <w:r w:rsidRPr="007C6423">
        <w:rPr>
          <w:rFonts w:ascii="Times New Roman" w:hAnsi="Times New Roman" w:cs="Times New Roman"/>
          <w:b/>
          <w:bCs/>
          <w:sz w:val="24"/>
          <w:szCs w:val="24"/>
        </w:rPr>
        <w:t>Components:</w:t>
      </w:r>
    </w:p>
    <w:p w14:paraId="000CC46B" w14:textId="77777777"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Year Slicer:</w:t>
      </w:r>
      <w:r w:rsidRPr="007C6423">
        <w:rPr>
          <w:rFonts w:ascii="Times New Roman" w:hAnsi="Times New Roman" w:cs="Times New Roman"/>
          <w:sz w:val="24"/>
          <w:szCs w:val="24"/>
        </w:rPr>
        <w:t xml:space="preserve"> Filters all visuals by selected year(s)</w:t>
      </w:r>
    </w:p>
    <w:p w14:paraId="04D7EB55" w14:textId="77777777"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KPI:</w:t>
      </w:r>
      <w:r w:rsidRPr="007C6423">
        <w:rPr>
          <w:rFonts w:ascii="Times New Roman" w:hAnsi="Times New Roman" w:cs="Times New Roman"/>
          <w:sz w:val="24"/>
          <w:szCs w:val="24"/>
        </w:rPr>
        <w:t xml:space="preserve"> 30-Day Moving Average: Displays average price trend</w:t>
      </w:r>
    </w:p>
    <w:p w14:paraId="6A6BC0AB" w14:textId="77777777"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KPI:</w:t>
      </w:r>
      <w:r w:rsidRPr="007C6423">
        <w:rPr>
          <w:rFonts w:ascii="Times New Roman" w:hAnsi="Times New Roman" w:cs="Times New Roman"/>
          <w:sz w:val="24"/>
          <w:szCs w:val="24"/>
        </w:rPr>
        <w:t xml:space="preserve"> YoY % Change: Shows yearly performance</w:t>
      </w:r>
    </w:p>
    <w:p w14:paraId="42CB4EBC" w14:textId="77777777"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KPI:</w:t>
      </w:r>
      <w:r w:rsidRPr="007C6423">
        <w:rPr>
          <w:rFonts w:ascii="Times New Roman" w:hAnsi="Times New Roman" w:cs="Times New Roman"/>
          <w:sz w:val="24"/>
          <w:szCs w:val="24"/>
        </w:rPr>
        <w:t xml:space="preserve"> Max High: Highest price in selected period</w:t>
      </w:r>
    </w:p>
    <w:p w14:paraId="0C98582B" w14:textId="77777777"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KPI:</w:t>
      </w:r>
      <w:r w:rsidRPr="007C6423">
        <w:rPr>
          <w:rFonts w:ascii="Times New Roman" w:hAnsi="Times New Roman" w:cs="Times New Roman"/>
          <w:sz w:val="24"/>
          <w:szCs w:val="24"/>
        </w:rPr>
        <w:t xml:space="preserve"> Min Low: Lowest price in selected period</w:t>
      </w:r>
    </w:p>
    <w:p w14:paraId="4B7B233E" w14:textId="0D6ED1A3"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Moving Average Line Chart:</w:t>
      </w:r>
      <w:r w:rsidRPr="007C6423">
        <w:rPr>
          <w:rFonts w:ascii="Times New Roman" w:hAnsi="Times New Roman" w:cs="Times New Roman"/>
          <w:sz w:val="24"/>
          <w:szCs w:val="24"/>
        </w:rPr>
        <w:t xml:space="preserve"> Shows moving average</w:t>
      </w:r>
    </w:p>
    <w:p w14:paraId="441FEEFD" w14:textId="76DAD245"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Price Change Line Chart:</w:t>
      </w:r>
      <w:r w:rsidRPr="007C6423">
        <w:rPr>
          <w:rFonts w:ascii="Times New Roman" w:hAnsi="Times New Roman" w:cs="Times New Roman"/>
          <w:sz w:val="24"/>
          <w:szCs w:val="24"/>
        </w:rPr>
        <w:t xml:space="preserve"> Shows price change</w:t>
      </w:r>
    </w:p>
    <w:p w14:paraId="4E03CF26" w14:textId="366E64DB"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YoY Table:</w:t>
      </w:r>
      <w:r w:rsidRPr="007C6423">
        <w:rPr>
          <w:rFonts w:ascii="Times New Roman" w:hAnsi="Times New Roman" w:cs="Times New Roman"/>
          <w:sz w:val="24"/>
          <w:szCs w:val="24"/>
        </w:rPr>
        <w:t xml:space="preserve"> Displays yearly comparison</w:t>
      </w:r>
    </w:p>
    <w:p w14:paraId="032EC58B" w14:textId="77777777" w:rsidR="003301C0" w:rsidRPr="007C6423" w:rsidRDefault="003301C0" w:rsidP="003301C0">
      <w:pPr>
        <w:pStyle w:val="ListParagraph"/>
        <w:numPr>
          <w:ilvl w:val="0"/>
          <w:numId w:val="17"/>
        </w:numPr>
        <w:spacing w:before="60" w:after="60"/>
        <w:jc w:val="both"/>
        <w:rPr>
          <w:rFonts w:ascii="Times New Roman" w:hAnsi="Times New Roman" w:cs="Times New Roman"/>
          <w:sz w:val="24"/>
          <w:szCs w:val="24"/>
        </w:rPr>
      </w:pPr>
      <w:r w:rsidRPr="007C6423">
        <w:rPr>
          <w:rFonts w:ascii="Times New Roman" w:hAnsi="Times New Roman" w:cs="Times New Roman"/>
          <w:b/>
          <w:bCs/>
          <w:sz w:val="24"/>
          <w:szCs w:val="24"/>
        </w:rPr>
        <w:t>Matrix:</w:t>
      </w:r>
      <w:r w:rsidRPr="007C6423">
        <w:rPr>
          <w:rFonts w:ascii="Times New Roman" w:hAnsi="Times New Roman" w:cs="Times New Roman"/>
          <w:sz w:val="24"/>
          <w:szCs w:val="24"/>
        </w:rPr>
        <w:t xml:space="preserve"> Shows detailed OHLCV data</w:t>
      </w:r>
    </w:p>
    <w:p w14:paraId="345D05B7" w14:textId="77777777" w:rsidR="003301C0" w:rsidRPr="007C6423" w:rsidRDefault="003301C0" w:rsidP="003301C0">
      <w:pPr>
        <w:pStyle w:val="ListParagraph"/>
        <w:spacing w:before="60" w:after="60"/>
        <w:ind w:left="720"/>
        <w:jc w:val="both"/>
        <w:rPr>
          <w:rFonts w:ascii="Times New Roman" w:hAnsi="Times New Roman" w:cs="Times New Roman"/>
          <w:sz w:val="24"/>
          <w:szCs w:val="24"/>
        </w:rPr>
      </w:pPr>
    </w:p>
    <w:p w14:paraId="6FB11B5E"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D1.2 Annotated Component Reference</w:t>
      </w:r>
    </w:p>
    <w:p w14:paraId="7873C67A" w14:textId="77777777" w:rsidR="003301C0" w:rsidRPr="007C6423" w:rsidRDefault="003301C0" w:rsidP="003301C0">
      <w:pPr>
        <w:jc w:val="both"/>
        <w:rPr>
          <w:rFonts w:ascii="Times New Roman" w:hAnsi="Times New Roman" w:cs="Times New Roman"/>
          <w:sz w:val="24"/>
          <w:szCs w:val="24"/>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3161"/>
        <w:gridCol w:w="2108"/>
        <w:gridCol w:w="1826"/>
        <w:gridCol w:w="1490"/>
      </w:tblGrid>
      <w:tr w:rsidR="003301C0" w:rsidRPr="007C6423" w14:paraId="32E168AD" w14:textId="77777777" w:rsidTr="0022653D">
        <w:trPr>
          <w:tblHeader/>
        </w:trPr>
        <w:tc>
          <w:tcPr>
            <w:tcW w:w="1133"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0C9234BA" w14:textId="77777777" w:rsidR="003301C0" w:rsidRPr="007C6423" w:rsidRDefault="003301C0" w:rsidP="00BE7F74">
            <w:pPr>
              <w:jc w:val="both"/>
              <w:rPr>
                <w:rFonts w:ascii="Times New Roman" w:hAnsi="Times New Roman" w:cs="Times New Roman"/>
                <w:b/>
                <w:bCs/>
                <w:sz w:val="24"/>
                <w:szCs w:val="24"/>
              </w:rPr>
            </w:pPr>
            <w:r w:rsidRPr="007C6423">
              <w:rPr>
                <w:rFonts w:ascii="Times New Roman" w:hAnsi="Times New Roman" w:cs="Times New Roman"/>
                <w:b/>
                <w:bCs/>
                <w:sz w:val="24"/>
                <w:szCs w:val="24"/>
              </w:rPr>
              <w:t>Label</w:t>
            </w:r>
          </w:p>
        </w:tc>
        <w:tc>
          <w:tcPr>
            <w:tcW w:w="3161"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5FFD8787"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Component</w:t>
            </w:r>
          </w:p>
        </w:tc>
        <w:tc>
          <w:tcPr>
            <w:tcW w:w="2108"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tcPr>
          <w:p w14:paraId="1C453C95"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color w:val="FFFFFF"/>
                <w:sz w:val="24"/>
                <w:szCs w:val="24"/>
              </w:rPr>
              <w:t>Visual Type</w:t>
            </w:r>
          </w:p>
        </w:tc>
        <w:tc>
          <w:tcPr>
            <w:tcW w:w="1826" w:type="dxa"/>
            <w:tcBorders>
              <w:top w:val="single" w:sz="1" w:space="0" w:color="B8900A"/>
              <w:left w:val="single" w:sz="1" w:space="0" w:color="B8900A"/>
              <w:bottom w:val="single" w:sz="1" w:space="0" w:color="B8900A"/>
              <w:right w:val="single" w:sz="1" w:space="0" w:color="B8900A"/>
            </w:tcBorders>
            <w:shd w:val="clear" w:color="auto" w:fill="1F3864"/>
          </w:tcPr>
          <w:p w14:paraId="2731E13E" w14:textId="77777777" w:rsidR="003301C0" w:rsidRPr="007C6423" w:rsidRDefault="003301C0" w:rsidP="00BE7F74">
            <w:pPr>
              <w:jc w:val="both"/>
              <w:rPr>
                <w:rFonts w:ascii="Times New Roman" w:hAnsi="Times New Roman" w:cs="Times New Roman"/>
                <w:b/>
                <w:bCs/>
                <w:color w:val="FFFFFF"/>
                <w:sz w:val="24"/>
                <w:szCs w:val="24"/>
              </w:rPr>
            </w:pPr>
            <w:r w:rsidRPr="007C6423">
              <w:rPr>
                <w:rFonts w:ascii="Times New Roman" w:hAnsi="Times New Roman" w:cs="Times New Roman"/>
                <w:b/>
                <w:bCs/>
                <w:color w:val="FFFFFF"/>
                <w:sz w:val="24"/>
                <w:szCs w:val="24"/>
              </w:rPr>
              <w:t xml:space="preserve"> Description</w:t>
            </w:r>
          </w:p>
        </w:tc>
        <w:tc>
          <w:tcPr>
            <w:tcW w:w="1490" w:type="dxa"/>
            <w:tcBorders>
              <w:top w:val="single" w:sz="1" w:space="0" w:color="B8900A"/>
              <w:left w:val="single" w:sz="1" w:space="0" w:color="B8900A"/>
              <w:bottom w:val="single" w:sz="1" w:space="0" w:color="B8900A"/>
              <w:right w:val="single" w:sz="1" w:space="0" w:color="B8900A"/>
            </w:tcBorders>
            <w:shd w:val="clear" w:color="auto" w:fill="1F3864"/>
          </w:tcPr>
          <w:p w14:paraId="3F9ADB72" w14:textId="77777777" w:rsidR="003301C0" w:rsidRPr="007C6423" w:rsidRDefault="003301C0" w:rsidP="00BE7F74">
            <w:pPr>
              <w:jc w:val="both"/>
              <w:rPr>
                <w:rFonts w:ascii="Times New Roman" w:hAnsi="Times New Roman" w:cs="Times New Roman"/>
                <w:b/>
                <w:bCs/>
                <w:color w:val="FFFFFF"/>
                <w:sz w:val="24"/>
                <w:szCs w:val="24"/>
              </w:rPr>
            </w:pPr>
            <w:r w:rsidRPr="007C6423">
              <w:rPr>
                <w:rFonts w:ascii="Times New Roman" w:hAnsi="Times New Roman" w:cs="Times New Roman"/>
                <w:b/>
                <w:bCs/>
                <w:color w:val="FFFFFF"/>
                <w:sz w:val="24"/>
                <w:szCs w:val="24"/>
              </w:rPr>
              <w:t xml:space="preserve"> Interaction</w:t>
            </w:r>
          </w:p>
        </w:tc>
      </w:tr>
      <w:tr w:rsidR="003301C0" w:rsidRPr="007C6423" w14:paraId="46DA001C"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797A8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w:t>
            </w:r>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5E8A6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Year Slicer</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F0407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Filter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Pr>
          <w:p w14:paraId="6FE63E7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Filters dashboard</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Pr>
          <w:p w14:paraId="6EF84E1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Select year(s)</w:t>
            </w:r>
          </w:p>
        </w:tc>
      </w:tr>
      <w:tr w:rsidR="003301C0" w:rsidRPr="007C6423" w14:paraId="43AD1359"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4430DF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B</w:t>
            </w:r>
          </w:p>
        </w:tc>
        <w:tc>
          <w:tcPr>
            <w:tcW w:w="316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B7B5D67"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Moving Avg KPI</w:t>
            </w:r>
          </w:p>
        </w:tc>
        <w:tc>
          <w:tcPr>
            <w:tcW w:w="21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6BAF364"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Card</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Pr>
          <w:p w14:paraId="1D17F4E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Shows trend</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Pr>
          <w:p w14:paraId="3B1C31B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Auto update</w:t>
            </w:r>
          </w:p>
        </w:tc>
      </w:tr>
      <w:tr w:rsidR="003301C0" w:rsidRPr="007C6423" w14:paraId="3F2CC4ED"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CC288D"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w:t>
            </w:r>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3CA6A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YoY KPI</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D2310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Card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Pr>
          <w:p w14:paraId="57B0BE93"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Shows % change</w:t>
            </w:r>
          </w:p>
        </w:tc>
        <w:tc>
          <w:tcPr>
            <w:tcW w:w="1490" w:type="dxa"/>
            <w:tcBorders>
              <w:top w:val="single" w:sz="1" w:space="0" w:color="CCCCCC"/>
              <w:left w:val="single" w:sz="1" w:space="0" w:color="CCCCCC"/>
              <w:bottom w:val="single" w:sz="1" w:space="0" w:color="CCCCCC"/>
              <w:right w:val="single" w:sz="1" w:space="0" w:color="CCCCCC"/>
            </w:tcBorders>
            <w:shd w:val="clear" w:color="auto" w:fill="FFFFFF"/>
          </w:tcPr>
          <w:p w14:paraId="328BFB1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Auto update</w:t>
            </w:r>
          </w:p>
        </w:tc>
      </w:tr>
      <w:tr w:rsidR="003301C0" w:rsidRPr="007C6423" w14:paraId="6C00481D"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38B7F95"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D</w:t>
            </w:r>
          </w:p>
        </w:tc>
        <w:tc>
          <w:tcPr>
            <w:tcW w:w="316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9AA358C"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Max High</w:t>
            </w:r>
          </w:p>
        </w:tc>
        <w:tc>
          <w:tcPr>
            <w:tcW w:w="21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1D4FB1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Card</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Pr>
          <w:p w14:paraId="42B1D39C"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Highest value</w:t>
            </w:r>
          </w:p>
        </w:tc>
        <w:tc>
          <w:tcPr>
            <w:tcW w:w="1490" w:type="dxa"/>
            <w:tcBorders>
              <w:top w:val="single" w:sz="1" w:space="0" w:color="CCCCCC"/>
              <w:left w:val="single" w:sz="1" w:space="0" w:color="CCCCCC"/>
              <w:bottom w:val="single" w:sz="1" w:space="0" w:color="CCCCCC"/>
              <w:right w:val="single" w:sz="1" w:space="0" w:color="CCCCCC"/>
            </w:tcBorders>
            <w:shd w:val="clear" w:color="auto" w:fill="F5F5F5"/>
          </w:tcPr>
          <w:p w14:paraId="3B0FE63B"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Auto update</w:t>
            </w:r>
          </w:p>
        </w:tc>
      </w:tr>
      <w:tr w:rsidR="007C6423" w:rsidRPr="007C6423" w14:paraId="4E30A84F"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1DB62D7"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E</w:t>
            </w:r>
          </w:p>
        </w:tc>
        <w:tc>
          <w:tcPr>
            <w:tcW w:w="316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86BB7E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Min Low</w:t>
            </w:r>
          </w:p>
        </w:tc>
        <w:tc>
          <w:tcPr>
            <w:tcW w:w="21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77C1FE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Card</w:t>
            </w:r>
          </w:p>
        </w:tc>
        <w:tc>
          <w:tcPr>
            <w:tcW w:w="1826"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FE06664"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Lowest value</w:t>
            </w:r>
          </w:p>
        </w:tc>
        <w:tc>
          <w:tcPr>
            <w:tcW w:w="149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EC4C7C5"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Auto update</w:t>
            </w:r>
          </w:p>
        </w:tc>
      </w:tr>
      <w:tr w:rsidR="007C6423" w:rsidRPr="007C6423" w14:paraId="4ACB2814"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BB5AD13"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F</w:t>
            </w:r>
          </w:p>
        </w:tc>
        <w:tc>
          <w:tcPr>
            <w:tcW w:w="316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3BD8B97" w14:textId="3BDD1748"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Moving Average Line Chart</w:t>
            </w:r>
          </w:p>
        </w:tc>
        <w:tc>
          <w:tcPr>
            <w:tcW w:w="21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A109F4"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Chart</w:t>
            </w:r>
          </w:p>
        </w:tc>
        <w:tc>
          <w:tcPr>
            <w:tcW w:w="1826"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207B746" w14:textId="723CE189"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Moving Average</w:t>
            </w:r>
          </w:p>
        </w:tc>
        <w:tc>
          <w:tcPr>
            <w:tcW w:w="149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D0EC5E8"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Hover, drill</w:t>
            </w:r>
          </w:p>
        </w:tc>
      </w:tr>
      <w:tr w:rsidR="007C6423" w:rsidRPr="007C6423" w14:paraId="368CA4FE"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1A0FCBF" w14:textId="4CA270ED"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G</w:t>
            </w:r>
          </w:p>
        </w:tc>
        <w:tc>
          <w:tcPr>
            <w:tcW w:w="316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80D2BBD" w14:textId="0E9C0C71"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Price Change Line Chart</w:t>
            </w:r>
          </w:p>
        </w:tc>
        <w:tc>
          <w:tcPr>
            <w:tcW w:w="21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C53D158" w14:textId="7ADE5440"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Chart</w:t>
            </w:r>
          </w:p>
        </w:tc>
        <w:tc>
          <w:tcPr>
            <w:tcW w:w="1826"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692F515" w14:textId="58CC3536"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Price Change</w:t>
            </w:r>
          </w:p>
        </w:tc>
        <w:tc>
          <w:tcPr>
            <w:tcW w:w="149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ED117D8" w14:textId="095EED5A"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Hover, drill</w:t>
            </w:r>
          </w:p>
        </w:tc>
      </w:tr>
      <w:tr w:rsidR="007C6423" w:rsidRPr="007C6423" w14:paraId="10BC93F6"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ECD5616" w14:textId="50BF2DE3"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H</w:t>
            </w:r>
          </w:p>
        </w:tc>
        <w:tc>
          <w:tcPr>
            <w:tcW w:w="316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6C8D7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YoY Table</w:t>
            </w:r>
          </w:p>
        </w:tc>
        <w:tc>
          <w:tcPr>
            <w:tcW w:w="21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D7CEC3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Table</w:t>
            </w:r>
          </w:p>
        </w:tc>
        <w:tc>
          <w:tcPr>
            <w:tcW w:w="1826"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C7F0B31"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Year comparison</w:t>
            </w:r>
          </w:p>
        </w:tc>
        <w:tc>
          <w:tcPr>
            <w:tcW w:w="149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0DD3164"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Sort</w:t>
            </w:r>
          </w:p>
        </w:tc>
      </w:tr>
      <w:tr w:rsidR="007C6423" w:rsidRPr="007C6423" w14:paraId="02B4882B" w14:textId="77777777" w:rsidTr="0022653D">
        <w:tc>
          <w:tcPr>
            <w:tcW w:w="113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D84F48C" w14:textId="0D46DE6F"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I</w:t>
            </w:r>
          </w:p>
        </w:tc>
        <w:tc>
          <w:tcPr>
            <w:tcW w:w="316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0A670D4"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Matrix</w:t>
            </w:r>
          </w:p>
        </w:tc>
        <w:tc>
          <w:tcPr>
            <w:tcW w:w="210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436A47"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Matrix</w:t>
            </w:r>
          </w:p>
        </w:tc>
        <w:tc>
          <w:tcPr>
            <w:tcW w:w="1826"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15109E5"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Detailed data</w:t>
            </w:r>
          </w:p>
        </w:tc>
        <w:tc>
          <w:tcPr>
            <w:tcW w:w="149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CF589C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Expand</w:t>
            </w:r>
          </w:p>
        </w:tc>
      </w:tr>
    </w:tbl>
    <w:p w14:paraId="62D89569" w14:textId="143C3EE1" w:rsidR="003301C0" w:rsidRPr="007C6423" w:rsidRDefault="003301C0" w:rsidP="003301C0">
      <w:pPr>
        <w:jc w:val="both"/>
        <w:rPr>
          <w:rFonts w:ascii="Times New Roman" w:hAnsi="Times New Roman" w:cs="Times New Roman"/>
        </w:rPr>
      </w:pPr>
      <w:r w:rsidRPr="007C6423">
        <w:rPr>
          <w:rFonts w:ascii="Times New Roman" w:hAnsi="Times New Roman" w:cs="Times New Roman"/>
          <w:noProof/>
        </w:rPr>
        <w:lastRenderedPageBreak/>
        <w:drawing>
          <wp:inline distT="0" distB="0" distL="0" distR="0" wp14:anchorId="002A4151" wp14:editId="70185DA5">
            <wp:extent cx="6172200" cy="3422015"/>
            <wp:effectExtent l="0" t="0" r="0" b="0"/>
            <wp:docPr id="196781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6741" name="Picture 1967816741"/>
                    <pic:cNvPicPr/>
                  </pic:nvPicPr>
                  <pic:blipFill>
                    <a:blip r:embed="rId24">
                      <a:extLst>
                        <a:ext uri="{28A0092B-C50C-407E-A947-70E740481C1C}">
                          <a14:useLocalDpi xmlns:a14="http://schemas.microsoft.com/office/drawing/2010/main" val="0"/>
                        </a:ext>
                      </a:extLst>
                    </a:blip>
                    <a:stretch>
                      <a:fillRect/>
                    </a:stretch>
                  </pic:blipFill>
                  <pic:spPr>
                    <a:xfrm>
                      <a:off x="0" y="0"/>
                      <a:ext cx="6172200" cy="3422015"/>
                    </a:xfrm>
                    <a:prstGeom prst="rect">
                      <a:avLst/>
                    </a:prstGeom>
                  </pic:spPr>
                </pic:pic>
              </a:graphicData>
            </a:graphic>
          </wp:inline>
        </w:drawing>
      </w:r>
    </w:p>
    <w:p w14:paraId="29E8DB67" w14:textId="77777777" w:rsidR="003301C0" w:rsidRPr="007C6423" w:rsidRDefault="003301C0" w:rsidP="003301C0">
      <w:pPr>
        <w:spacing w:before="60" w:after="60"/>
        <w:jc w:val="center"/>
        <w:rPr>
          <w:rFonts w:ascii="Times New Roman" w:hAnsi="Times New Roman" w:cs="Times New Roman"/>
          <w:i/>
          <w:iCs/>
          <w:sz w:val="24"/>
          <w:szCs w:val="24"/>
        </w:rPr>
      </w:pPr>
      <w:r w:rsidRPr="007C6423">
        <w:rPr>
          <w:rFonts w:ascii="Times New Roman" w:hAnsi="Times New Roman" w:cs="Times New Roman"/>
          <w:i/>
          <w:iCs/>
          <w:sz w:val="24"/>
          <w:szCs w:val="24"/>
        </w:rPr>
        <w:t>Figure 1: Annotated Dashboard showcasing all different components.</w:t>
      </w:r>
    </w:p>
    <w:p w14:paraId="6535CB5E" w14:textId="77777777" w:rsidR="003301C0" w:rsidRPr="007C6423" w:rsidRDefault="003301C0" w:rsidP="003301C0">
      <w:pPr>
        <w:rPr>
          <w:rFonts w:ascii="Times New Roman" w:hAnsi="Times New Roman" w:cs="Times New Roman"/>
          <w:b/>
          <w:bCs/>
          <w:color w:val="1F3864"/>
          <w:sz w:val="28"/>
          <w:szCs w:val="28"/>
        </w:rPr>
      </w:pPr>
    </w:p>
    <w:p w14:paraId="5BC7C3E4" w14:textId="77777777" w:rsidR="003301C0" w:rsidRPr="007C6423" w:rsidRDefault="003301C0" w:rsidP="003301C0">
      <w:pPr>
        <w:rPr>
          <w:rFonts w:ascii="Times New Roman" w:hAnsi="Times New Roman" w:cs="Times New Roman"/>
          <w:b/>
          <w:bCs/>
          <w:color w:val="1F3864"/>
          <w:sz w:val="28"/>
          <w:szCs w:val="28"/>
        </w:rPr>
      </w:pPr>
      <w:r w:rsidRPr="007C6423">
        <w:rPr>
          <w:rFonts w:ascii="Times New Roman" w:hAnsi="Times New Roman" w:cs="Times New Roman"/>
          <w:b/>
          <w:bCs/>
          <w:color w:val="1F3864"/>
          <w:sz w:val="28"/>
          <w:szCs w:val="28"/>
        </w:rPr>
        <w:br w:type="page"/>
      </w:r>
    </w:p>
    <w:p w14:paraId="19B2ED81"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D2. Navigation Steps</w:t>
      </w:r>
    </w:p>
    <w:p w14:paraId="004E2205" w14:textId="77777777" w:rsidR="003301C0" w:rsidRPr="007C6423" w:rsidRDefault="003301C0" w:rsidP="003301C0">
      <w:pPr>
        <w:spacing w:before="60" w:after="60"/>
        <w:jc w:val="both"/>
        <w:rPr>
          <w:rFonts w:ascii="Times New Roman" w:hAnsi="Times New Roman" w:cs="Times New Roman"/>
        </w:rPr>
      </w:pPr>
    </w:p>
    <w:p w14:paraId="507BB71D"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D2.1 How to Filter by Year</w:t>
      </w:r>
    </w:p>
    <w:p w14:paraId="352CAE33" w14:textId="77777777" w:rsidR="003301C0" w:rsidRPr="007C6423" w:rsidRDefault="003301C0" w:rsidP="003301C0">
      <w:pPr>
        <w:pStyle w:val="ListParagraph"/>
        <w:numPr>
          <w:ilvl w:val="0"/>
          <w:numId w:val="12"/>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Locate the Year slicer at the top-left of the dashboard. It shows all available years in the dataset.</w:t>
      </w:r>
    </w:p>
    <w:p w14:paraId="0E23BA84" w14:textId="77777777" w:rsidR="003301C0" w:rsidRPr="007C6423" w:rsidRDefault="003301C0" w:rsidP="003301C0">
      <w:pPr>
        <w:pStyle w:val="ListParagraph"/>
        <w:numPr>
          <w:ilvl w:val="0"/>
          <w:numId w:val="12"/>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Click on a single year to filter all visuals to that year. All charts, KPI cards, and tables will update automatically.</w:t>
      </w:r>
    </w:p>
    <w:p w14:paraId="0BB70138" w14:textId="77777777" w:rsidR="003301C0" w:rsidRPr="007C6423" w:rsidRDefault="003301C0" w:rsidP="003301C0">
      <w:pPr>
        <w:pStyle w:val="ListParagraph"/>
        <w:numPr>
          <w:ilvl w:val="0"/>
          <w:numId w:val="12"/>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Hold Ctrl and click additional years to select multiple years at once. The dashboard will show combined data for all selected years.</w:t>
      </w:r>
    </w:p>
    <w:p w14:paraId="06B67BB7" w14:textId="77777777" w:rsidR="003301C0" w:rsidRPr="007C6423" w:rsidRDefault="003301C0" w:rsidP="003301C0">
      <w:pPr>
        <w:pStyle w:val="ListParagraph"/>
        <w:numPr>
          <w:ilvl w:val="0"/>
          <w:numId w:val="12"/>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Click the eraser icon in the top-right corner of the slicer to clear all selections and return to the full 10-year view.</w:t>
      </w:r>
    </w:p>
    <w:p w14:paraId="21B4E211" w14:textId="77777777" w:rsidR="003301C0" w:rsidRPr="007C6423" w:rsidRDefault="003301C0" w:rsidP="003301C0">
      <w:pPr>
        <w:pStyle w:val="ListParagraph"/>
        <w:numPr>
          <w:ilvl w:val="0"/>
          <w:numId w:val="12"/>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After applying a filter, the KPI cards update to reflect the selected period, the line chart zooms in to show only those years, and the YoY table filters its rows to match.</w:t>
      </w:r>
    </w:p>
    <w:p w14:paraId="33515DB3" w14:textId="77777777" w:rsidR="003301C0" w:rsidRPr="007C6423" w:rsidRDefault="003301C0" w:rsidP="003301C0">
      <w:pPr>
        <w:pStyle w:val="ListParagraph"/>
        <w:spacing w:before="60" w:after="60"/>
        <w:ind w:left="720"/>
        <w:jc w:val="both"/>
        <w:rPr>
          <w:rFonts w:ascii="Times New Roman" w:hAnsi="Times New Roman" w:cs="Times New Roman"/>
          <w:sz w:val="24"/>
          <w:szCs w:val="24"/>
        </w:rPr>
      </w:pPr>
    </w:p>
    <w:p w14:paraId="5384665B"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D2.2 How to Use the Trend Charts</w:t>
      </w:r>
    </w:p>
    <w:p w14:paraId="19579218" w14:textId="77777777" w:rsidR="003301C0" w:rsidRPr="007C6423" w:rsidRDefault="003301C0" w:rsidP="003301C0">
      <w:pPr>
        <w:pStyle w:val="ListParagraph"/>
        <w:numPr>
          <w:ilvl w:val="0"/>
          <w:numId w:val="13"/>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Hover over any point on either line to see a tooltip showing the exact date, the raw Close price, and the 30-Day Moving Average value for that day.</w:t>
      </w:r>
    </w:p>
    <w:p w14:paraId="571E1EF6" w14:textId="77EF2618" w:rsidR="003301C0" w:rsidRPr="007C6423" w:rsidRDefault="003301C0" w:rsidP="003301C0">
      <w:pPr>
        <w:pStyle w:val="ListParagraph"/>
        <w:numPr>
          <w:ilvl w:val="0"/>
          <w:numId w:val="13"/>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 the drill-down arrows at the top-right corner of the chart to move from Year view down to Quarter, then Month, then Day level for a more detailed breakdown.</w:t>
      </w:r>
    </w:p>
    <w:p w14:paraId="3996B58F" w14:textId="77777777" w:rsidR="003301C0" w:rsidRPr="007C6423" w:rsidRDefault="003301C0" w:rsidP="003301C0">
      <w:pPr>
        <w:pStyle w:val="ListParagraph"/>
        <w:numPr>
          <w:ilvl w:val="0"/>
          <w:numId w:val="13"/>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To return to a higher level after drilling down, click the drill-up arrow at the top-right of the chart. This takes the view back from Month to Quarter, or from Quarter to Year.</w:t>
      </w:r>
    </w:p>
    <w:p w14:paraId="65C001E5" w14:textId="77777777" w:rsidR="003301C0" w:rsidRPr="007C6423" w:rsidRDefault="003301C0" w:rsidP="003301C0">
      <w:pPr>
        <w:pStyle w:val="Heading2"/>
        <w:spacing w:before="240" w:after="120"/>
        <w:jc w:val="both"/>
        <w:rPr>
          <w:rFonts w:ascii="Times New Roman" w:hAnsi="Times New Roman" w:cs="Times New Roman"/>
          <w:b/>
          <w:bCs/>
          <w:color w:val="B8900A"/>
          <w:sz w:val="24"/>
          <w:szCs w:val="24"/>
        </w:rPr>
      </w:pPr>
    </w:p>
    <w:p w14:paraId="12158AF5" w14:textId="77777777" w:rsidR="003301C0" w:rsidRPr="007C6423" w:rsidRDefault="003301C0" w:rsidP="003301C0">
      <w:pPr>
        <w:pStyle w:val="Heading2"/>
        <w:spacing w:before="240" w:after="120"/>
        <w:jc w:val="both"/>
        <w:rPr>
          <w:rFonts w:ascii="Times New Roman" w:hAnsi="Times New Roman" w:cs="Times New Roman"/>
          <w:sz w:val="24"/>
          <w:szCs w:val="24"/>
        </w:rPr>
      </w:pPr>
      <w:r w:rsidRPr="007C6423">
        <w:rPr>
          <w:rFonts w:ascii="Times New Roman" w:hAnsi="Times New Roman" w:cs="Times New Roman"/>
          <w:b/>
          <w:bCs/>
          <w:color w:val="B8900A"/>
          <w:sz w:val="24"/>
          <w:szCs w:val="24"/>
        </w:rPr>
        <w:t>D2.3 How to Read the YoY Table and OHLCV Matrix</w:t>
      </w:r>
    </w:p>
    <w:p w14:paraId="5F808788" w14:textId="77777777" w:rsidR="003301C0" w:rsidRPr="007C6423" w:rsidRDefault="003301C0" w:rsidP="003301C0">
      <w:pPr>
        <w:pStyle w:val="ListParagraph"/>
        <w:numPr>
          <w:ilvl w:val="0"/>
          <w:numId w:val="15"/>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In the YoY Price Change table, each row shows one calendar year. The columns display the average Close price for that year, and the percentage change compared to the year before.</w:t>
      </w:r>
    </w:p>
    <w:p w14:paraId="60DC64E4" w14:textId="77777777" w:rsidR="003301C0" w:rsidRPr="007C6423" w:rsidRDefault="003301C0" w:rsidP="003301C0">
      <w:pPr>
        <w:pStyle w:val="ListParagraph"/>
        <w:numPr>
          <w:ilvl w:val="0"/>
          <w:numId w:val="15"/>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Click any column header in the table to sort the rows by that column. Click the same header a second time to reverse the sort order.</w:t>
      </w:r>
    </w:p>
    <w:p w14:paraId="02175BAB" w14:textId="77777777" w:rsidR="003301C0" w:rsidRPr="007C6423" w:rsidRDefault="003301C0" w:rsidP="003301C0">
      <w:pPr>
        <w:pStyle w:val="ListParagraph"/>
        <w:numPr>
          <w:ilvl w:val="0"/>
          <w:numId w:val="15"/>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In the OHLCV matrix, click the expand arrow next to a Year row to break it down by Quarter. This shows Open, High, Low, Close, and Volume figures for each quarter within that year.</w:t>
      </w:r>
    </w:p>
    <w:p w14:paraId="5524649E" w14:textId="77777777" w:rsidR="003301C0" w:rsidRPr="007C6423" w:rsidRDefault="003301C0" w:rsidP="003301C0">
      <w:pPr>
        <w:pStyle w:val="ListParagraph"/>
        <w:numPr>
          <w:ilvl w:val="0"/>
          <w:numId w:val="15"/>
        </w:num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Use the Year slicer to filter both the table and the matrix at the same time. Selecting a single year will reduce the table to one row and the matrix to that year’s data only.</w:t>
      </w:r>
    </w:p>
    <w:p w14:paraId="7034F5C3" w14:textId="77777777" w:rsidR="003301C0" w:rsidRPr="007C6423" w:rsidRDefault="003301C0" w:rsidP="003301C0">
      <w:pPr>
        <w:jc w:val="both"/>
        <w:rPr>
          <w:rFonts w:ascii="Times New Roman" w:hAnsi="Times New Roman" w:cs="Times New Roman"/>
        </w:rPr>
      </w:pPr>
      <w:r w:rsidRPr="007C6423">
        <w:rPr>
          <w:rFonts w:ascii="Times New Roman" w:hAnsi="Times New Roman" w:cs="Times New Roman"/>
        </w:rPr>
        <w:br w:type="page"/>
      </w:r>
    </w:p>
    <w:p w14:paraId="3AC52E0E" w14:textId="77777777" w:rsidR="003301C0" w:rsidRPr="007C6423" w:rsidRDefault="003301C0" w:rsidP="003301C0">
      <w:pPr>
        <w:pStyle w:val="Heading1"/>
        <w:spacing w:before="320" w:after="160"/>
        <w:jc w:val="both"/>
        <w:rPr>
          <w:rFonts w:ascii="Times New Roman" w:hAnsi="Times New Roman" w:cs="Times New Roman"/>
          <w:sz w:val="28"/>
          <w:szCs w:val="28"/>
        </w:rPr>
      </w:pPr>
      <w:r w:rsidRPr="007C6423">
        <w:rPr>
          <w:rFonts w:ascii="Times New Roman" w:hAnsi="Times New Roman" w:cs="Times New Roman"/>
          <w:b/>
          <w:bCs/>
          <w:color w:val="1F3864"/>
          <w:sz w:val="28"/>
          <w:szCs w:val="28"/>
        </w:rPr>
        <w:lastRenderedPageBreak/>
        <w:t>D3. Feature Glossary</w:t>
      </w:r>
    </w:p>
    <w:p w14:paraId="39849E70" w14:textId="77777777" w:rsidR="003301C0" w:rsidRPr="007C6423" w:rsidRDefault="003301C0" w:rsidP="003301C0">
      <w:pPr>
        <w:spacing w:before="60" w:after="60"/>
        <w:jc w:val="both"/>
        <w:rPr>
          <w:rFonts w:ascii="Times New Roman" w:hAnsi="Times New Roman" w:cs="Times New Roman"/>
        </w:rPr>
      </w:pPr>
    </w:p>
    <w:p w14:paraId="2FBEEFE0" w14:textId="77777777" w:rsidR="003301C0" w:rsidRPr="007C6423" w:rsidRDefault="003301C0" w:rsidP="003301C0">
      <w:pPr>
        <w:spacing w:before="60" w:after="60"/>
        <w:jc w:val="both"/>
        <w:rPr>
          <w:rFonts w:ascii="Times New Roman" w:hAnsi="Times New Roman" w:cs="Times New Roman"/>
          <w:sz w:val="24"/>
          <w:szCs w:val="24"/>
        </w:rPr>
      </w:pPr>
      <w:r w:rsidRPr="007C6423">
        <w:rPr>
          <w:rFonts w:ascii="Times New Roman" w:hAnsi="Times New Roman" w:cs="Times New Roman"/>
          <w:sz w:val="24"/>
          <w:szCs w:val="24"/>
        </w:rPr>
        <w:t>The following terms appear in the dashboard visuals or in this report. Each definition is written in plain language for users who may not have a financial analysis background.</w:t>
      </w:r>
    </w:p>
    <w:p w14:paraId="4B053F43" w14:textId="77777777" w:rsidR="003301C0" w:rsidRPr="007C6423" w:rsidRDefault="003301C0" w:rsidP="003301C0">
      <w:pPr>
        <w:spacing w:before="60" w:after="60"/>
        <w:jc w:val="both"/>
        <w:rPr>
          <w:rFonts w:ascii="Times New Roman" w:hAnsi="Times New Roman" w:cs="Times New Roman"/>
          <w:sz w:val="24"/>
          <w:szCs w:val="24"/>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7087"/>
      </w:tblGrid>
      <w:tr w:rsidR="003301C0" w:rsidRPr="007C6423" w14:paraId="6F63CD83" w14:textId="77777777" w:rsidTr="00BE7F74">
        <w:trPr>
          <w:tblHeader/>
        </w:trPr>
        <w:tc>
          <w:tcPr>
            <w:tcW w:w="2693"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vAlign w:val="center"/>
          </w:tcPr>
          <w:p w14:paraId="2358D3D8" w14:textId="77777777" w:rsidR="003301C0" w:rsidRPr="007C6423" w:rsidRDefault="003301C0" w:rsidP="00BE7F74">
            <w:pPr>
              <w:jc w:val="both"/>
              <w:rPr>
                <w:rFonts w:ascii="Times New Roman" w:hAnsi="Times New Roman" w:cs="Times New Roman"/>
                <w:b/>
                <w:bCs/>
                <w:sz w:val="24"/>
                <w:szCs w:val="24"/>
              </w:rPr>
            </w:pPr>
            <w:r w:rsidRPr="007C6423">
              <w:rPr>
                <w:rFonts w:ascii="Times New Roman" w:hAnsi="Times New Roman" w:cs="Times New Roman"/>
                <w:b/>
                <w:bCs/>
                <w:sz w:val="24"/>
                <w:szCs w:val="24"/>
              </w:rPr>
              <w:t>Term</w:t>
            </w:r>
          </w:p>
        </w:tc>
        <w:tc>
          <w:tcPr>
            <w:tcW w:w="7087" w:type="dxa"/>
            <w:tcBorders>
              <w:top w:val="single" w:sz="1" w:space="0" w:color="B8900A"/>
              <w:left w:val="single" w:sz="1" w:space="0" w:color="B8900A"/>
              <w:bottom w:val="single" w:sz="1" w:space="0" w:color="B8900A"/>
              <w:right w:val="single" w:sz="1" w:space="0" w:color="B8900A"/>
            </w:tcBorders>
            <w:shd w:val="clear" w:color="auto" w:fill="1F3864"/>
            <w:tcMar>
              <w:top w:w="100" w:type="dxa"/>
              <w:left w:w="140" w:type="dxa"/>
              <w:bottom w:w="100" w:type="dxa"/>
              <w:right w:w="140" w:type="dxa"/>
            </w:tcMar>
            <w:vAlign w:val="center"/>
          </w:tcPr>
          <w:p w14:paraId="21C3CB87"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b/>
                <w:bCs/>
                <w:sz w:val="24"/>
                <w:szCs w:val="24"/>
              </w:rPr>
              <w:t>Definition</w:t>
            </w:r>
          </w:p>
        </w:tc>
      </w:tr>
      <w:tr w:rsidR="003301C0" w:rsidRPr="007C6423" w14:paraId="239B2DA7"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D001C4"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Close Price</w:t>
            </w:r>
          </w:p>
        </w:tc>
        <w:tc>
          <w:tcPr>
            <w:tcW w:w="70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E09AB0"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final trading price of gold at the end of a day</w:t>
            </w:r>
          </w:p>
        </w:tc>
      </w:tr>
      <w:tr w:rsidR="003301C0" w:rsidRPr="007C6423" w14:paraId="7DE1638D"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3331FBC"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Open Price</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B552E63"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first trading price of gold at the start of a day</w:t>
            </w:r>
          </w:p>
        </w:tc>
      </w:tr>
      <w:tr w:rsidR="003301C0" w:rsidRPr="007C6423" w14:paraId="10F5C28B"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B52563"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High</w:t>
            </w:r>
          </w:p>
        </w:tc>
        <w:tc>
          <w:tcPr>
            <w:tcW w:w="70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6828E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highest price reached during the day</w:t>
            </w:r>
          </w:p>
        </w:tc>
      </w:tr>
      <w:tr w:rsidR="003301C0" w:rsidRPr="007C6423" w14:paraId="3924D4BB"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F3510C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Low</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1D2A585"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lowest price reached during the day</w:t>
            </w:r>
          </w:p>
        </w:tc>
      </w:tr>
      <w:tr w:rsidR="003301C0" w:rsidRPr="007C6423" w14:paraId="4C7DCDE4"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501D5A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Volume</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6F8CEA"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total number of trades or transactions</w:t>
            </w:r>
          </w:p>
        </w:tc>
      </w:tr>
      <w:tr w:rsidR="003301C0" w:rsidRPr="007C6423" w14:paraId="5EDC18E6"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50785A"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30-Day Moving Average</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725C3F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average of the last 30 days of closing prices, used to smooth trends</w:t>
            </w:r>
          </w:p>
        </w:tc>
      </w:tr>
      <w:tr w:rsidR="003301C0" w:rsidRPr="007C6423" w14:paraId="420751F5"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CB4098B"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YoY % Price Change</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1DEF91A"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percentage change in price compared to the previous year</w:t>
            </w:r>
          </w:p>
        </w:tc>
      </w:tr>
      <w:tr w:rsidR="003301C0" w:rsidRPr="007C6423" w14:paraId="5F615952"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DDFF2FB"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Daily Volatility</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3794BE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difference between high and low prices within a day</w:t>
            </w:r>
          </w:p>
        </w:tc>
      </w:tr>
      <w:tr w:rsidR="003301C0" w:rsidRPr="007C6423" w14:paraId="3308B08A"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AC836B"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Confidence Interval</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3A778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shaded range in a forecast chart showing where prices are expected to fall with 95% probability</w:t>
            </w:r>
          </w:p>
        </w:tc>
      </w:tr>
      <w:tr w:rsidR="003301C0" w:rsidRPr="007C6423" w14:paraId="619180A8"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697BF1"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Forecast Zone</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CC4B646"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section of the chart showing predicted future prices beyond actual data</w:t>
            </w:r>
          </w:p>
        </w:tc>
      </w:tr>
      <w:tr w:rsidR="003301C0" w:rsidRPr="007C6423" w14:paraId="3AD10CC5"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6019615"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Exponential Smoothing</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5E7706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 forecasting method that gives more weight to recent data</w:t>
            </w:r>
          </w:p>
        </w:tc>
      </w:tr>
      <w:tr w:rsidR="003301C0" w:rsidRPr="007C6423" w14:paraId="5F7AA376"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0E3AF1F"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Slicer</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9C1EBAA"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 filter tool used to select specific data values</w:t>
            </w:r>
          </w:p>
        </w:tc>
      </w:tr>
      <w:tr w:rsidR="003301C0" w:rsidRPr="007C6423" w14:paraId="3D1340E7"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EDDCED7"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KPI Card</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E54FA4E"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 visual displaying a key metric value</w:t>
            </w:r>
          </w:p>
        </w:tc>
      </w:tr>
      <w:tr w:rsidR="003301C0" w:rsidRPr="007C6423" w14:paraId="0C2626AD"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6ADAB19"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Drill Down</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899500"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The ability to move from a summary level (Year) into more detailed levels (Quarter, Month, Day) within a chart or table.</w:t>
            </w:r>
          </w:p>
        </w:tc>
      </w:tr>
      <w:tr w:rsidR="003301C0" w:rsidRPr="007C6423" w14:paraId="1B7B606C" w14:textId="77777777" w:rsidTr="00BE7F74">
        <w:tc>
          <w:tcPr>
            <w:tcW w:w="269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A67020"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Inflation Hedge</w:t>
            </w:r>
          </w:p>
        </w:tc>
        <w:tc>
          <w:tcPr>
            <w:tcW w:w="7087"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22834B8" w14:textId="77777777" w:rsidR="003301C0" w:rsidRPr="007C6423" w:rsidRDefault="003301C0" w:rsidP="00BE7F74">
            <w:pPr>
              <w:jc w:val="both"/>
              <w:rPr>
                <w:rFonts w:ascii="Times New Roman" w:hAnsi="Times New Roman" w:cs="Times New Roman"/>
                <w:sz w:val="24"/>
                <w:szCs w:val="24"/>
              </w:rPr>
            </w:pPr>
            <w:r w:rsidRPr="007C6423">
              <w:rPr>
                <w:rFonts w:ascii="Times New Roman" w:hAnsi="Times New Roman" w:cs="Times New Roman"/>
                <w:sz w:val="24"/>
                <w:szCs w:val="24"/>
              </w:rPr>
              <w:t>An investment that tends to hold or grow in value when inflation is high, helping protect the investor’s purchasing power over time.</w:t>
            </w:r>
          </w:p>
        </w:tc>
      </w:tr>
    </w:tbl>
    <w:p w14:paraId="672EC016" w14:textId="77777777" w:rsidR="003301C0" w:rsidRPr="007C6423" w:rsidRDefault="003301C0" w:rsidP="003301C0">
      <w:pPr>
        <w:spacing w:before="60" w:after="60"/>
        <w:jc w:val="both"/>
        <w:rPr>
          <w:rFonts w:ascii="Times New Roman" w:hAnsi="Times New Roman" w:cs="Times New Roman"/>
        </w:rPr>
      </w:pPr>
    </w:p>
    <w:p w14:paraId="078BF652" w14:textId="77777777" w:rsidR="003301C0" w:rsidRPr="007C6423" w:rsidRDefault="003301C0" w:rsidP="003301C0">
      <w:pPr>
        <w:rPr>
          <w:rFonts w:ascii="Times New Roman" w:hAnsi="Times New Roman" w:cs="Times New Roman"/>
        </w:rPr>
      </w:pPr>
    </w:p>
    <w:p w14:paraId="01038C4E" w14:textId="77777777" w:rsidR="003301C0" w:rsidRPr="007C6423" w:rsidRDefault="003301C0" w:rsidP="003301C0">
      <w:pPr>
        <w:rPr>
          <w:rFonts w:ascii="Times New Roman" w:hAnsi="Times New Roman" w:cs="Times New Roman"/>
        </w:rPr>
      </w:pPr>
    </w:p>
    <w:p w14:paraId="28C1AD00" w14:textId="2AA902D6" w:rsidR="00866640" w:rsidRPr="007C6423" w:rsidRDefault="00866640" w:rsidP="003301C0">
      <w:pPr>
        <w:rPr>
          <w:rFonts w:ascii="Times New Roman" w:hAnsi="Times New Roman" w:cs="Times New Roman"/>
        </w:rPr>
      </w:pPr>
    </w:p>
    <w:sectPr w:rsidR="00866640" w:rsidRPr="007C6423" w:rsidSect="008916F5">
      <w:headerReference w:type="default" r:id="rId25"/>
      <w:footerReference w:type="default" r:id="rId26"/>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28CC1" w14:textId="77777777" w:rsidR="00A423C2" w:rsidRDefault="00A423C2">
      <w:r>
        <w:separator/>
      </w:r>
    </w:p>
  </w:endnote>
  <w:endnote w:type="continuationSeparator" w:id="0">
    <w:p w14:paraId="43A9EBC9" w14:textId="77777777" w:rsidR="00A423C2" w:rsidRDefault="00A423C2">
      <w:r>
        <w:continuationSeparator/>
      </w:r>
    </w:p>
  </w:endnote>
  <w:endnote w:type="continuationNotice" w:id="1">
    <w:p w14:paraId="412C53FC" w14:textId="77777777" w:rsidR="00A423C2" w:rsidRDefault="00A423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notTrueType/>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A69E" w14:textId="77777777" w:rsidR="003301C0" w:rsidRDefault="003301C0">
    <w:pPr>
      <w:tabs>
        <w:tab w:val="right" w:pos="9026"/>
      </w:tabs>
    </w:pPr>
    <w:r>
      <w:rPr>
        <w:color w:val="888888"/>
        <w:sz w:val="18"/>
        <w:szCs w:val="18"/>
      </w:rPr>
      <w:t xml:space="preserve">Gold Price Analytics Dashboard   |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3</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BE45" w14:textId="77777777" w:rsidR="003301C0" w:rsidRDefault="003301C0">
    <w:pPr>
      <w:tabs>
        <w:tab w:val="right" w:pos="9026"/>
      </w:tabs>
    </w:pPr>
    <w:r>
      <w:rPr>
        <w:color w:val="888888"/>
        <w:sz w:val="18"/>
        <w:szCs w:val="18"/>
      </w:rPr>
      <w:t xml:space="preserve">Gold Price Analytics Dashboard   |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14</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15</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6498" w14:textId="77777777" w:rsidR="003301C0" w:rsidRDefault="003301C0">
    <w:pPr>
      <w:tabs>
        <w:tab w:val="right" w:pos="9026"/>
      </w:tabs>
    </w:pPr>
    <w:r>
      <w:rPr>
        <w:color w:val="888888"/>
        <w:sz w:val="18"/>
        <w:szCs w:val="18"/>
      </w:rPr>
      <w:t xml:space="preserve">Gold Price Analytics Dashboard   |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21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22</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E7D3" w14:textId="77777777" w:rsidR="003301C0" w:rsidRDefault="003301C0">
    <w:pPr>
      <w:tabs>
        <w:tab w:val="right" w:pos="9026"/>
      </w:tabs>
    </w:pPr>
    <w:r>
      <w:rPr>
        <w:color w:val="888888"/>
        <w:sz w:val="18"/>
        <w:szCs w:val="18"/>
      </w:rPr>
      <w:t xml:space="preserve">Gold Price Analytics Dashboard   |   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26</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27</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A3C2" w14:textId="77777777" w:rsidR="00866640" w:rsidRDefault="00F74B0D">
    <w:pPr>
      <w:tabs>
        <w:tab w:val="right" w:pos="9026"/>
      </w:tabs>
    </w:pPr>
    <w:r>
      <w:rPr>
        <w:color w:val="888888"/>
        <w:sz w:val="18"/>
        <w:szCs w:val="18"/>
      </w:rPr>
      <w:t xml:space="preserve">Gold Price Analytics Dashboard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045B">
      <w:rPr>
        <w:noProof/>
        <w:color w:val="888888"/>
        <w:sz w:val="18"/>
        <w:szCs w:val="18"/>
      </w:rPr>
      <w:t>31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B045B">
      <w:rPr>
        <w:noProof/>
        <w:color w:val="888888"/>
        <w:sz w:val="18"/>
        <w:szCs w:val="18"/>
      </w:rPr>
      <w:t>32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C8B6" w14:textId="77777777" w:rsidR="00A423C2" w:rsidRDefault="00A423C2">
      <w:r>
        <w:separator/>
      </w:r>
    </w:p>
  </w:footnote>
  <w:footnote w:type="continuationSeparator" w:id="0">
    <w:p w14:paraId="6DA68B06" w14:textId="77777777" w:rsidR="00A423C2" w:rsidRDefault="00A423C2">
      <w:r>
        <w:continuationSeparator/>
      </w:r>
    </w:p>
  </w:footnote>
  <w:footnote w:type="continuationNotice" w:id="1">
    <w:p w14:paraId="407A74AD" w14:textId="77777777" w:rsidR="00A423C2" w:rsidRDefault="00A423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0D5F" w14:textId="77777777" w:rsidR="003301C0" w:rsidRDefault="003301C0">
    <w:pPr>
      <w:pBdr>
        <w:bottom w:val="single" w:sz="4" w:space="1" w:color="B8900A"/>
      </w:pBdr>
      <w:tabs>
        <w:tab w:val="right" w:pos="9026"/>
      </w:tabs>
    </w:pPr>
    <w:r>
      <w:rPr>
        <w:b/>
        <w:bCs/>
        <w:color w:val="1F3864"/>
        <w:sz w:val="18"/>
        <w:szCs w:val="18"/>
      </w:rPr>
      <w:t>Gold Price Analytics Dashboard</w:t>
    </w:r>
    <w:r>
      <w:rPr>
        <w:color w:val="B8900A"/>
        <w:sz w:val="18"/>
        <w:szCs w:val="18"/>
      </w:rPr>
      <w:tab/>
      <w:t>Main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5DF6" w14:textId="77777777" w:rsidR="003301C0" w:rsidRDefault="003301C0">
    <w:pPr>
      <w:pBdr>
        <w:bottom w:val="single" w:sz="4" w:space="1" w:color="B8900A"/>
      </w:pBdr>
      <w:tabs>
        <w:tab w:val="right" w:pos="9026"/>
      </w:tabs>
    </w:pPr>
    <w:r>
      <w:rPr>
        <w:b/>
        <w:bCs/>
        <w:color w:val="1F3864"/>
        <w:sz w:val="18"/>
        <w:szCs w:val="18"/>
      </w:rPr>
      <w:t>Gold Price Analytics Dashboard</w:t>
    </w:r>
    <w:r>
      <w:rPr>
        <w:color w:val="B8900A"/>
        <w:sz w:val="18"/>
        <w:szCs w:val="18"/>
      </w:rPr>
      <w:tab/>
      <w:t>Addendum A: Design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6C03" w14:textId="77777777" w:rsidR="003301C0" w:rsidRDefault="003301C0">
    <w:pPr>
      <w:pBdr>
        <w:bottom w:val="single" w:sz="4" w:space="1" w:color="B8900A"/>
      </w:pBdr>
      <w:tabs>
        <w:tab w:val="right" w:pos="9026"/>
      </w:tabs>
    </w:pPr>
    <w:r>
      <w:rPr>
        <w:b/>
        <w:bCs/>
        <w:color w:val="1F3864"/>
        <w:sz w:val="18"/>
        <w:szCs w:val="18"/>
      </w:rPr>
      <w:t>Gold Price Analytics Dashboard</w:t>
    </w:r>
    <w:r>
      <w:rPr>
        <w:color w:val="B8900A"/>
        <w:sz w:val="18"/>
        <w:szCs w:val="18"/>
      </w:rPr>
      <w:tab/>
      <w:t>Addendum B: Deployment Document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4355A" w14:textId="77777777" w:rsidR="003301C0" w:rsidRDefault="003301C0">
    <w:pPr>
      <w:pBdr>
        <w:bottom w:val="single" w:sz="4" w:space="1" w:color="B8900A"/>
      </w:pBdr>
      <w:tabs>
        <w:tab w:val="right" w:pos="9026"/>
      </w:tabs>
    </w:pPr>
    <w:r>
      <w:rPr>
        <w:b/>
        <w:bCs/>
        <w:color w:val="1F3864"/>
        <w:sz w:val="18"/>
        <w:szCs w:val="18"/>
      </w:rPr>
      <w:t>Gold Price Analytics Dashboard</w:t>
    </w:r>
    <w:r>
      <w:rPr>
        <w:color w:val="B8900A"/>
        <w:sz w:val="18"/>
        <w:szCs w:val="18"/>
      </w:rPr>
      <w:tab/>
      <w:t>Addendum C: User Requirements &amp; Analysis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3343" w14:textId="77777777" w:rsidR="00866640" w:rsidRDefault="00F74B0D">
    <w:pPr>
      <w:pBdr>
        <w:bottom w:val="single" w:sz="4" w:space="1" w:color="B8900A"/>
      </w:pBdr>
      <w:tabs>
        <w:tab w:val="right" w:pos="9026"/>
      </w:tabs>
    </w:pPr>
    <w:r>
      <w:rPr>
        <w:b/>
        <w:bCs/>
        <w:color w:val="1F3864"/>
        <w:sz w:val="18"/>
        <w:szCs w:val="18"/>
      </w:rPr>
      <w:t>Gold Price Analytics Dashboard</w:t>
    </w:r>
    <w:r>
      <w:rPr>
        <w:color w:val="B8900A"/>
        <w:sz w:val="18"/>
        <w:szCs w:val="18"/>
      </w:rPr>
      <w:tab/>
      <w:t>Addendum D: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50A9"/>
    <w:multiLevelType w:val="hybridMultilevel"/>
    <w:tmpl w:val="2FBEE7F6"/>
    <w:lvl w:ilvl="0" w:tplc="4CC6BFB2">
      <w:start w:val="1"/>
      <w:numFmt w:val="decimal"/>
      <w:lvlText w:val="%1."/>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253E09"/>
    <w:multiLevelType w:val="hybridMultilevel"/>
    <w:tmpl w:val="9EC20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230D45"/>
    <w:multiLevelType w:val="multilevel"/>
    <w:tmpl w:val="6FB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D30E2"/>
    <w:multiLevelType w:val="hybridMultilevel"/>
    <w:tmpl w:val="213C41FE"/>
    <w:lvl w:ilvl="0" w:tplc="F984EA10">
      <w:start w:val="6"/>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73A25"/>
    <w:multiLevelType w:val="hybridMultilevel"/>
    <w:tmpl w:val="C98A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83F49"/>
    <w:multiLevelType w:val="hybridMultilevel"/>
    <w:tmpl w:val="4B489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A01E8"/>
    <w:multiLevelType w:val="hybridMultilevel"/>
    <w:tmpl w:val="C32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01187"/>
    <w:multiLevelType w:val="hybridMultilevel"/>
    <w:tmpl w:val="B404A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3ECFB6"/>
    <w:multiLevelType w:val="hybridMultilevel"/>
    <w:tmpl w:val="FFFFFFFF"/>
    <w:lvl w:ilvl="0" w:tplc="B9F45226">
      <w:start w:val="1"/>
      <w:numFmt w:val="bullet"/>
      <w:lvlText w:val=""/>
      <w:lvlJc w:val="left"/>
      <w:pPr>
        <w:ind w:left="720" w:hanging="360"/>
      </w:pPr>
      <w:rPr>
        <w:rFonts w:ascii="Symbol" w:hAnsi="Symbol" w:hint="default"/>
      </w:rPr>
    </w:lvl>
    <w:lvl w:ilvl="1" w:tplc="F38E37FA">
      <w:start w:val="1"/>
      <w:numFmt w:val="bullet"/>
      <w:lvlText w:val="o"/>
      <w:lvlJc w:val="left"/>
      <w:pPr>
        <w:ind w:left="1440" w:hanging="360"/>
      </w:pPr>
      <w:rPr>
        <w:rFonts w:ascii="Courier New" w:hAnsi="Courier New" w:hint="default"/>
      </w:rPr>
    </w:lvl>
    <w:lvl w:ilvl="2" w:tplc="CCCC28F2">
      <w:start w:val="1"/>
      <w:numFmt w:val="bullet"/>
      <w:lvlText w:val=""/>
      <w:lvlJc w:val="left"/>
      <w:pPr>
        <w:ind w:left="2160" w:hanging="360"/>
      </w:pPr>
      <w:rPr>
        <w:rFonts w:ascii="Wingdings" w:hAnsi="Wingdings" w:hint="default"/>
      </w:rPr>
    </w:lvl>
    <w:lvl w:ilvl="3" w:tplc="44A85EA0">
      <w:start w:val="1"/>
      <w:numFmt w:val="bullet"/>
      <w:lvlText w:val=""/>
      <w:lvlJc w:val="left"/>
      <w:pPr>
        <w:ind w:left="2880" w:hanging="360"/>
      </w:pPr>
      <w:rPr>
        <w:rFonts w:ascii="Symbol" w:hAnsi="Symbol" w:hint="default"/>
      </w:rPr>
    </w:lvl>
    <w:lvl w:ilvl="4" w:tplc="7DB299C4">
      <w:start w:val="1"/>
      <w:numFmt w:val="bullet"/>
      <w:lvlText w:val="o"/>
      <w:lvlJc w:val="left"/>
      <w:pPr>
        <w:ind w:left="3600" w:hanging="360"/>
      </w:pPr>
      <w:rPr>
        <w:rFonts w:ascii="Courier New" w:hAnsi="Courier New" w:hint="default"/>
      </w:rPr>
    </w:lvl>
    <w:lvl w:ilvl="5" w:tplc="80FA75DE">
      <w:start w:val="1"/>
      <w:numFmt w:val="bullet"/>
      <w:lvlText w:val=""/>
      <w:lvlJc w:val="left"/>
      <w:pPr>
        <w:ind w:left="4320" w:hanging="360"/>
      </w:pPr>
      <w:rPr>
        <w:rFonts w:ascii="Wingdings" w:hAnsi="Wingdings" w:hint="default"/>
      </w:rPr>
    </w:lvl>
    <w:lvl w:ilvl="6" w:tplc="2466B612">
      <w:start w:val="1"/>
      <w:numFmt w:val="bullet"/>
      <w:lvlText w:val=""/>
      <w:lvlJc w:val="left"/>
      <w:pPr>
        <w:ind w:left="5040" w:hanging="360"/>
      </w:pPr>
      <w:rPr>
        <w:rFonts w:ascii="Symbol" w:hAnsi="Symbol" w:hint="default"/>
      </w:rPr>
    </w:lvl>
    <w:lvl w:ilvl="7" w:tplc="5158FFE2">
      <w:start w:val="1"/>
      <w:numFmt w:val="bullet"/>
      <w:lvlText w:val="o"/>
      <w:lvlJc w:val="left"/>
      <w:pPr>
        <w:ind w:left="5760" w:hanging="360"/>
      </w:pPr>
      <w:rPr>
        <w:rFonts w:ascii="Courier New" w:hAnsi="Courier New" w:hint="default"/>
      </w:rPr>
    </w:lvl>
    <w:lvl w:ilvl="8" w:tplc="4800A4C8">
      <w:start w:val="1"/>
      <w:numFmt w:val="bullet"/>
      <w:lvlText w:val=""/>
      <w:lvlJc w:val="left"/>
      <w:pPr>
        <w:ind w:left="6480" w:hanging="360"/>
      </w:pPr>
      <w:rPr>
        <w:rFonts w:ascii="Wingdings" w:hAnsi="Wingdings" w:hint="default"/>
      </w:rPr>
    </w:lvl>
  </w:abstractNum>
  <w:abstractNum w:abstractNumId="9" w15:restartNumberingAfterBreak="0">
    <w:nsid w:val="37AB5AEB"/>
    <w:multiLevelType w:val="hybridMultilevel"/>
    <w:tmpl w:val="4F6C6BBC"/>
    <w:lvl w:ilvl="0" w:tplc="9EFEE678">
      <w:start w:val="1"/>
      <w:numFmt w:val="bullet"/>
      <w:lvlText w:val="•"/>
      <w:lvlJc w:val="left"/>
      <w:pPr>
        <w:ind w:left="720" w:hanging="360"/>
      </w:pPr>
    </w:lvl>
    <w:lvl w:ilvl="1" w:tplc="467C8BF6">
      <w:start w:val="1"/>
      <w:numFmt w:val="bullet"/>
      <w:lvlText w:val="○"/>
      <w:lvlJc w:val="left"/>
      <w:pPr>
        <w:ind w:left="1080" w:hanging="360"/>
      </w:pPr>
    </w:lvl>
    <w:lvl w:ilvl="2" w:tplc="CE204888">
      <w:numFmt w:val="decimal"/>
      <w:lvlText w:val=""/>
      <w:lvlJc w:val="left"/>
    </w:lvl>
    <w:lvl w:ilvl="3" w:tplc="F90A84A8">
      <w:numFmt w:val="decimal"/>
      <w:lvlText w:val=""/>
      <w:lvlJc w:val="left"/>
    </w:lvl>
    <w:lvl w:ilvl="4" w:tplc="C916DAFC">
      <w:numFmt w:val="decimal"/>
      <w:lvlText w:val=""/>
      <w:lvlJc w:val="left"/>
    </w:lvl>
    <w:lvl w:ilvl="5" w:tplc="80A4B056">
      <w:numFmt w:val="decimal"/>
      <w:lvlText w:val=""/>
      <w:lvlJc w:val="left"/>
    </w:lvl>
    <w:lvl w:ilvl="6" w:tplc="3F1A3DD6">
      <w:numFmt w:val="decimal"/>
      <w:lvlText w:val=""/>
      <w:lvlJc w:val="left"/>
    </w:lvl>
    <w:lvl w:ilvl="7" w:tplc="CFFEC10C">
      <w:numFmt w:val="decimal"/>
      <w:lvlText w:val=""/>
      <w:lvlJc w:val="left"/>
    </w:lvl>
    <w:lvl w:ilvl="8" w:tplc="90E2C66A">
      <w:numFmt w:val="decimal"/>
      <w:lvlText w:val=""/>
      <w:lvlJc w:val="left"/>
    </w:lvl>
  </w:abstractNum>
  <w:abstractNum w:abstractNumId="10" w15:restartNumberingAfterBreak="0">
    <w:nsid w:val="3A377E14"/>
    <w:multiLevelType w:val="hybridMultilevel"/>
    <w:tmpl w:val="38102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1B0264"/>
    <w:multiLevelType w:val="hybridMultilevel"/>
    <w:tmpl w:val="8880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756513"/>
    <w:multiLevelType w:val="hybridMultilevel"/>
    <w:tmpl w:val="A3ECFD8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3" w15:restartNumberingAfterBreak="0">
    <w:nsid w:val="48B469C0"/>
    <w:multiLevelType w:val="hybridMultilevel"/>
    <w:tmpl w:val="F1A86E24"/>
    <w:lvl w:ilvl="0" w:tplc="F984EA10">
      <w:start w:val="6"/>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15:restartNumberingAfterBreak="0">
    <w:nsid w:val="57620EFC"/>
    <w:multiLevelType w:val="hybridMultilevel"/>
    <w:tmpl w:val="FFFFFFFF"/>
    <w:lvl w:ilvl="0" w:tplc="61485D26">
      <w:start w:val="1"/>
      <w:numFmt w:val="bullet"/>
      <w:lvlText w:val="?"/>
      <w:lvlJc w:val="left"/>
      <w:pPr>
        <w:ind w:left="720" w:hanging="360"/>
      </w:pPr>
      <w:rPr>
        <w:rFonts w:ascii="Symbol" w:hAnsi="Symbol" w:hint="default"/>
      </w:rPr>
    </w:lvl>
    <w:lvl w:ilvl="1" w:tplc="FB186B9A">
      <w:start w:val="1"/>
      <w:numFmt w:val="bullet"/>
      <w:lvlText w:val="o"/>
      <w:lvlJc w:val="left"/>
      <w:pPr>
        <w:ind w:left="1440" w:hanging="360"/>
      </w:pPr>
      <w:rPr>
        <w:rFonts w:ascii="Courier New" w:hAnsi="Courier New" w:cs="Courier New" w:hint="default"/>
      </w:rPr>
    </w:lvl>
    <w:lvl w:ilvl="2" w:tplc="60086AC4">
      <w:start w:val="1"/>
      <w:numFmt w:val="bullet"/>
      <w:lvlText w:val="?"/>
      <w:lvlJc w:val="left"/>
      <w:pPr>
        <w:ind w:left="2160" w:hanging="360"/>
      </w:pPr>
      <w:rPr>
        <w:rFonts w:ascii="Wingdings" w:hAnsi="Wingdings" w:hint="default"/>
      </w:rPr>
    </w:lvl>
    <w:lvl w:ilvl="3" w:tplc="41605D88">
      <w:start w:val="1"/>
      <w:numFmt w:val="bullet"/>
      <w:lvlText w:val="?"/>
      <w:lvlJc w:val="left"/>
      <w:pPr>
        <w:ind w:left="2880" w:hanging="360"/>
      </w:pPr>
      <w:rPr>
        <w:rFonts w:ascii="Symbol" w:hAnsi="Symbol" w:hint="default"/>
      </w:rPr>
    </w:lvl>
    <w:lvl w:ilvl="4" w:tplc="BF7EE542">
      <w:start w:val="1"/>
      <w:numFmt w:val="bullet"/>
      <w:lvlText w:val="o"/>
      <w:lvlJc w:val="left"/>
      <w:pPr>
        <w:ind w:left="3600" w:hanging="360"/>
      </w:pPr>
      <w:rPr>
        <w:rFonts w:ascii="Courier New" w:hAnsi="Courier New" w:cs="Courier New" w:hint="default"/>
      </w:rPr>
    </w:lvl>
    <w:lvl w:ilvl="5" w:tplc="B03C63E2">
      <w:start w:val="1"/>
      <w:numFmt w:val="bullet"/>
      <w:lvlText w:val="?"/>
      <w:lvlJc w:val="left"/>
      <w:pPr>
        <w:ind w:left="4320" w:hanging="360"/>
      </w:pPr>
      <w:rPr>
        <w:rFonts w:ascii="Wingdings" w:hAnsi="Wingdings" w:hint="default"/>
      </w:rPr>
    </w:lvl>
    <w:lvl w:ilvl="6" w:tplc="3084B0EE">
      <w:start w:val="1"/>
      <w:numFmt w:val="bullet"/>
      <w:lvlText w:val="?"/>
      <w:lvlJc w:val="left"/>
      <w:pPr>
        <w:ind w:left="5040" w:hanging="360"/>
      </w:pPr>
      <w:rPr>
        <w:rFonts w:ascii="Symbol" w:hAnsi="Symbol" w:hint="default"/>
      </w:rPr>
    </w:lvl>
    <w:lvl w:ilvl="7" w:tplc="3A6A4E08">
      <w:start w:val="1"/>
      <w:numFmt w:val="bullet"/>
      <w:lvlText w:val="o"/>
      <w:lvlJc w:val="left"/>
      <w:pPr>
        <w:ind w:left="5760" w:hanging="360"/>
      </w:pPr>
      <w:rPr>
        <w:rFonts w:ascii="Courier New" w:hAnsi="Courier New" w:cs="Courier New" w:hint="default"/>
      </w:rPr>
    </w:lvl>
    <w:lvl w:ilvl="8" w:tplc="F334A9DE">
      <w:start w:val="1"/>
      <w:numFmt w:val="bullet"/>
      <w:lvlText w:val="?"/>
      <w:lvlJc w:val="left"/>
      <w:pPr>
        <w:ind w:left="6480" w:hanging="360"/>
      </w:pPr>
      <w:rPr>
        <w:rFonts w:ascii="Wingdings" w:hAnsi="Wingdings" w:hint="default"/>
      </w:rPr>
    </w:lvl>
  </w:abstractNum>
  <w:abstractNum w:abstractNumId="15" w15:restartNumberingAfterBreak="0">
    <w:nsid w:val="62A92706"/>
    <w:multiLevelType w:val="multilevel"/>
    <w:tmpl w:val="0D585D2C"/>
    <w:lvl w:ilvl="0">
      <w:start w:val="1"/>
      <w:numFmt w:val="decimal"/>
      <w:lvlText w:val="%1."/>
      <w:lvlJc w:val="left"/>
      <w:pPr>
        <w:ind w:left="720" w:hanging="360"/>
      </w:pPr>
      <w:rPr>
        <w:rFonts w:ascii="Times New Roman" w:hAnsi="Times New Roman" w:cs="Times New Roman"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31321"/>
    <w:multiLevelType w:val="hybridMultilevel"/>
    <w:tmpl w:val="44F82A7C"/>
    <w:lvl w:ilvl="0" w:tplc="04090015">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8D249C"/>
    <w:multiLevelType w:val="hybridMultilevel"/>
    <w:tmpl w:val="4F3AC6B8"/>
    <w:lvl w:ilvl="0" w:tplc="F43060AE">
      <w:start w:val="1"/>
      <w:numFmt w:val="decimal"/>
      <w:lvlText w:val="%1."/>
      <w:lvlJc w:val="left"/>
      <w:pPr>
        <w:ind w:left="720" w:hanging="360"/>
      </w:pPr>
    </w:lvl>
    <w:lvl w:ilvl="1" w:tplc="627C9950">
      <w:numFmt w:val="decimal"/>
      <w:lvlText w:val=""/>
      <w:lvlJc w:val="left"/>
    </w:lvl>
    <w:lvl w:ilvl="2" w:tplc="3028FEFA">
      <w:numFmt w:val="decimal"/>
      <w:lvlText w:val=""/>
      <w:lvlJc w:val="left"/>
    </w:lvl>
    <w:lvl w:ilvl="3" w:tplc="5B02DD80">
      <w:numFmt w:val="decimal"/>
      <w:lvlText w:val=""/>
      <w:lvlJc w:val="left"/>
    </w:lvl>
    <w:lvl w:ilvl="4" w:tplc="31F4B208">
      <w:numFmt w:val="decimal"/>
      <w:lvlText w:val=""/>
      <w:lvlJc w:val="left"/>
    </w:lvl>
    <w:lvl w:ilvl="5" w:tplc="70947970">
      <w:numFmt w:val="decimal"/>
      <w:lvlText w:val=""/>
      <w:lvlJc w:val="left"/>
    </w:lvl>
    <w:lvl w:ilvl="6" w:tplc="50624B38">
      <w:numFmt w:val="decimal"/>
      <w:lvlText w:val=""/>
      <w:lvlJc w:val="left"/>
    </w:lvl>
    <w:lvl w:ilvl="7" w:tplc="2B5853C2">
      <w:numFmt w:val="decimal"/>
      <w:lvlText w:val=""/>
      <w:lvlJc w:val="left"/>
    </w:lvl>
    <w:lvl w:ilvl="8" w:tplc="B174644A">
      <w:numFmt w:val="decimal"/>
      <w:lvlText w:val=""/>
      <w:lvlJc w:val="left"/>
    </w:lvl>
  </w:abstractNum>
  <w:abstractNum w:abstractNumId="18" w15:restartNumberingAfterBreak="0">
    <w:nsid w:val="750C2584"/>
    <w:multiLevelType w:val="hybridMultilevel"/>
    <w:tmpl w:val="432E8AC0"/>
    <w:lvl w:ilvl="0" w:tplc="4ED0D526">
      <w:start w:val="1"/>
      <w:numFmt w:val="bullet"/>
      <w:lvlText w:val="●"/>
      <w:lvlJc w:val="left"/>
      <w:pPr>
        <w:ind w:left="720" w:hanging="360"/>
      </w:pPr>
    </w:lvl>
    <w:lvl w:ilvl="1" w:tplc="96885F2C">
      <w:start w:val="1"/>
      <w:numFmt w:val="bullet"/>
      <w:lvlText w:val="○"/>
      <w:lvlJc w:val="left"/>
      <w:pPr>
        <w:ind w:left="1440" w:hanging="360"/>
      </w:pPr>
    </w:lvl>
    <w:lvl w:ilvl="2" w:tplc="A4CCAE48">
      <w:start w:val="1"/>
      <w:numFmt w:val="bullet"/>
      <w:lvlText w:val="■"/>
      <w:lvlJc w:val="left"/>
      <w:pPr>
        <w:ind w:left="2160" w:hanging="360"/>
      </w:pPr>
    </w:lvl>
    <w:lvl w:ilvl="3" w:tplc="8AC88122">
      <w:start w:val="1"/>
      <w:numFmt w:val="bullet"/>
      <w:lvlText w:val="●"/>
      <w:lvlJc w:val="left"/>
      <w:pPr>
        <w:ind w:left="2880" w:hanging="360"/>
      </w:pPr>
    </w:lvl>
    <w:lvl w:ilvl="4" w:tplc="80522D34">
      <w:start w:val="1"/>
      <w:numFmt w:val="bullet"/>
      <w:lvlText w:val="○"/>
      <w:lvlJc w:val="left"/>
      <w:pPr>
        <w:ind w:left="3600" w:hanging="360"/>
      </w:pPr>
    </w:lvl>
    <w:lvl w:ilvl="5" w:tplc="A546FC7A">
      <w:start w:val="1"/>
      <w:numFmt w:val="bullet"/>
      <w:lvlText w:val="■"/>
      <w:lvlJc w:val="left"/>
      <w:pPr>
        <w:ind w:left="4320" w:hanging="360"/>
      </w:pPr>
    </w:lvl>
    <w:lvl w:ilvl="6" w:tplc="82C08C48">
      <w:start w:val="1"/>
      <w:numFmt w:val="bullet"/>
      <w:lvlText w:val="●"/>
      <w:lvlJc w:val="left"/>
      <w:pPr>
        <w:ind w:left="5040" w:hanging="360"/>
      </w:pPr>
    </w:lvl>
    <w:lvl w:ilvl="7" w:tplc="3D343CDA">
      <w:start w:val="1"/>
      <w:numFmt w:val="bullet"/>
      <w:lvlText w:val="●"/>
      <w:lvlJc w:val="left"/>
      <w:pPr>
        <w:ind w:left="5760" w:hanging="360"/>
      </w:pPr>
    </w:lvl>
    <w:lvl w:ilvl="8" w:tplc="CEDEC808">
      <w:start w:val="1"/>
      <w:numFmt w:val="bullet"/>
      <w:lvlText w:val="●"/>
      <w:lvlJc w:val="left"/>
      <w:pPr>
        <w:ind w:left="6480" w:hanging="360"/>
      </w:pPr>
    </w:lvl>
  </w:abstractNum>
  <w:num w:numId="1" w16cid:durableId="1056010467">
    <w:abstractNumId w:val="18"/>
    <w:lvlOverride w:ilvl="0">
      <w:startOverride w:val="1"/>
    </w:lvlOverride>
  </w:num>
  <w:num w:numId="2" w16cid:durableId="666399244">
    <w:abstractNumId w:val="9"/>
    <w:lvlOverride w:ilvl="0">
      <w:startOverride w:val="1"/>
    </w:lvlOverride>
  </w:num>
  <w:num w:numId="3" w16cid:durableId="1025253504">
    <w:abstractNumId w:val="13"/>
  </w:num>
  <w:num w:numId="4" w16cid:durableId="1971205024">
    <w:abstractNumId w:val="3"/>
  </w:num>
  <w:num w:numId="5" w16cid:durableId="2121608529">
    <w:abstractNumId w:val="4"/>
  </w:num>
  <w:num w:numId="6" w16cid:durableId="71315944">
    <w:abstractNumId w:val="12"/>
  </w:num>
  <w:num w:numId="7" w16cid:durableId="2111314486">
    <w:abstractNumId w:val="6"/>
  </w:num>
  <w:num w:numId="8" w16cid:durableId="718820329">
    <w:abstractNumId w:val="14"/>
  </w:num>
  <w:num w:numId="9" w16cid:durableId="1717465333">
    <w:abstractNumId w:val="11"/>
  </w:num>
  <w:num w:numId="10" w16cid:durableId="1828856581">
    <w:abstractNumId w:val="16"/>
  </w:num>
  <w:num w:numId="11" w16cid:durableId="1194424290">
    <w:abstractNumId w:val="15"/>
  </w:num>
  <w:num w:numId="12" w16cid:durableId="462817122">
    <w:abstractNumId w:val="0"/>
  </w:num>
  <w:num w:numId="13" w16cid:durableId="617026289">
    <w:abstractNumId w:val="7"/>
  </w:num>
  <w:num w:numId="14" w16cid:durableId="1615596958">
    <w:abstractNumId w:val="2"/>
  </w:num>
  <w:num w:numId="15" w16cid:durableId="489640026">
    <w:abstractNumId w:val="1"/>
  </w:num>
  <w:num w:numId="16" w16cid:durableId="1926528289">
    <w:abstractNumId w:val="5"/>
  </w:num>
  <w:num w:numId="17" w16cid:durableId="3467569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640"/>
    <w:rsid w:val="0000675A"/>
    <w:rsid w:val="00006AFB"/>
    <w:rsid w:val="0001247C"/>
    <w:rsid w:val="00013F68"/>
    <w:rsid w:val="0001414A"/>
    <w:rsid w:val="00022A85"/>
    <w:rsid w:val="00022CB8"/>
    <w:rsid w:val="0002626A"/>
    <w:rsid w:val="000272C0"/>
    <w:rsid w:val="00027D86"/>
    <w:rsid w:val="00036331"/>
    <w:rsid w:val="000368A5"/>
    <w:rsid w:val="0003792C"/>
    <w:rsid w:val="00041303"/>
    <w:rsid w:val="000431BD"/>
    <w:rsid w:val="00043B1A"/>
    <w:rsid w:val="00044B12"/>
    <w:rsid w:val="0004656C"/>
    <w:rsid w:val="00047EC0"/>
    <w:rsid w:val="00051A6C"/>
    <w:rsid w:val="00053C63"/>
    <w:rsid w:val="00054E9B"/>
    <w:rsid w:val="000601B1"/>
    <w:rsid w:val="00070BE4"/>
    <w:rsid w:val="00070FB1"/>
    <w:rsid w:val="00071027"/>
    <w:rsid w:val="00074C9D"/>
    <w:rsid w:val="000754FA"/>
    <w:rsid w:val="00081D9D"/>
    <w:rsid w:val="00092E7A"/>
    <w:rsid w:val="00094987"/>
    <w:rsid w:val="000A1853"/>
    <w:rsid w:val="000A2412"/>
    <w:rsid w:val="000A2D24"/>
    <w:rsid w:val="000A334A"/>
    <w:rsid w:val="000A35C7"/>
    <w:rsid w:val="000A49E9"/>
    <w:rsid w:val="000B042D"/>
    <w:rsid w:val="000B08DA"/>
    <w:rsid w:val="000B15E8"/>
    <w:rsid w:val="000B2550"/>
    <w:rsid w:val="000B4017"/>
    <w:rsid w:val="000B7269"/>
    <w:rsid w:val="000B79D6"/>
    <w:rsid w:val="000C0FAE"/>
    <w:rsid w:val="000C21E7"/>
    <w:rsid w:val="000C4AD0"/>
    <w:rsid w:val="000D1143"/>
    <w:rsid w:val="000D1588"/>
    <w:rsid w:val="000D444F"/>
    <w:rsid w:val="000D4CBE"/>
    <w:rsid w:val="000D4F11"/>
    <w:rsid w:val="000D587A"/>
    <w:rsid w:val="000D6036"/>
    <w:rsid w:val="000E02EC"/>
    <w:rsid w:val="000E43A9"/>
    <w:rsid w:val="000E5A68"/>
    <w:rsid w:val="000F3EC8"/>
    <w:rsid w:val="000F48ED"/>
    <w:rsid w:val="000F6336"/>
    <w:rsid w:val="00100C12"/>
    <w:rsid w:val="001047C4"/>
    <w:rsid w:val="00105710"/>
    <w:rsid w:val="001059F0"/>
    <w:rsid w:val="00105D28"/>
    <w:rsid w:val="00114F51"/>
    <w:rsid w:val="00134A0E"/>
    <w:rsid w:val="00136C33"/>
    <w:rsid w:val="001377BE"/>
    <w:rsid w:val="00140A58"/>
    <w:rsid w:val="00141309"/>
    <w:rsid w:val="001434C8"/>
    <w:rsid w:val="00147ACC"/>
    <w:rsid w:val="00147F1A"/>
    <w:rsid w:val="001620DB"/>
    <w:rsid w:val="001709C2"/>
    <w:rsid w:val="001716D8"/>
    <w:rsid w:val="00171B00"/>
    <w:rsid w:val="00175732"/>
    <w:rsid w:val="001777F7"/>
    <w:rsid w:val="00180828"/>
    <w:rsid w:val="0019294E"/>
    <w:rsid w:val="001A1AEB"/>
    <w:rsid w:val="001A7971"/>
    <w:rsid w:val="001B5406"/>
    <w:rsid w:val="001B7F38"/>
    <w:rsid w:val="001C10D0"/>
    <w:rsid w:val="001C1C0A"/>
    <w:rsid w:val="001D5377"/>
    <w:rsid w:val="001E2EAF"/>
    <w:rsid w:val="001F1D07"/>
    <w:rsid w:val="001F273A"/>
    <w:rsid w:val="001F48AA"/>
    <w:rsid w:val="001F6AAF"/>
    <w:rsid w:val="00202C7C"/>
    <w:rsid w:val="00204752"/>
    <w:rsid w:val="00205170"/>
    <w:rsid w:val="002056DF"/>
    <w:rsid w:val="00206C31"/>
    <w:rsid w:val="00210045"/>
    <w:rsid w:val="002105D1"/>
    <w:rsid w:val="00212C13"/>
    <w:rsid w:val="00216B2A"/>
    <w:rsid w:val="00220C26"/>
    <w:rsid w:val="00222FB7"/>
    <w:rsid w:val="0022358A"/>
    <w:rsid w:val="0022520C"/>
    <w:rsid w:val="0022653D"/>
    <w:rsid w:val="00226845"/>
    <w:rsid w:val="0022715C"/>
    <w:rsid w:val="002308F9"/>
    <w:rsid w:val="002331D0"/>
    <w:rsid w:val="00233947"/>
    <w:rsid w:val="00233FC3"/>
    <w:rsid w:val="00234265"/>
    <w:rsid w:val="00234C11"/>
    <w:rsid w:val="00235398"/>
    <w:rsid w:val="0023753A"/>
    <w:rsid w:val="00237600"/>
    <w:rsid w:val="00241F2F"/>
    <w:rsid w:val="00242E07"/>
    <w:rsid w:val="0024375D"/>
    <w:rsid w:val="00247685"/>
    <w:rsid w:val="00247F5C"/>
    <w:rsid w:val="0025304D"/>
    <w:rsid w:val="002547E6"/>
    <w:rsid w:val="00254D99"/>
    <w:rsid w:val="0025660E"/>
    <w:rsid w:val="00257871"/>
    <w:rsid w:val="00263480"/>
    <w:rsid w:val="00263706"/>
    <w:rsid w:val="00263766"/>
    <w:rsid w:val="00267FC8"/>
    <w:rsid w:val="0027038A"/>
    <w:rsid w:val="00274937"/>
    <w:rsid w:val="00283B8F"/>
    <w:rsid w:val="00285035"/>
    <w:rsid w:val="0028622B"/>
    <w:rsid w:val="00290631"/>
    <w:rsid w:val="00293E13"/>
    <w:rsid w:val="002A4D99"/>
    <w:rsid w:val="002B0DCE"/>
    <w:rsid w:val="002B1E68"/>
    <w:rsid w:val="002B37B6"/>
    <w:rsid w:val="002C0B77"/>
    <w:rsid w:val="002C6EA7"/>
    <w:rsid w:val="002D5731"/>
    <w:rsid w:val="002D71C4"/>
    <w:rsid w:val="002E22DA"/>
    <w:rsid w:val="002E23B7"/>
    <w:rsid w:val="002E28C3"/>
    <w:rsid w:val="002E31C1"/>
    <w:rsid w:val="002E5952"/>
    <w:rsid w:val="002E71F4"/>
    <w:rsid w:val="002F4C01"/>
    <w:rsid w:val="002F53F1"/>
    <w:rsid w:val="002F5FFA"/>
    <w:rsid w:val="002F73D3"/>
    <w:rsid w:val="00303EA8"/>
    <w:rsid w:val="00303FD6"/>
    <w:rsid w:val="00305A7A"/>
    <w:rsid w:val="0031099F"/>
    <w:rsid w:val="0031219E"/>
    <w:rsid w:val="00313E00"/>
    <w:rsid w:val="003241FC"/>
    <w:rsid w:val="00326431"/>
    <w:rsid w:val="003266D8"/>
    <w:rsid w:val="00327D7E"/>
    <w:rsid w:val="003301C0"/>
    <w:rsid w:val="00334094"/>
    <w:rsid w:val="00335AD3"/>
    <w:rsid w:val="0033798C"/>
    <w:rsid w:val="0034276F"/>
    <w:rsid w:val="003431B0"/>
    <w:rsid w:val="0034329A"/>
    <w:rsid w:val="003455EE"/>
    <w:rsid w:val="003468E5"/>
    <w:rsid w:val="003508AE"/>
    <w:rsid w:val="003547FB"/>
    <w:rsid w:val="003555BE"/>
    <w:rsid w:val="00356EDF"/>
    <w:rsid w:val="003575E3"/>
    <w:rsid w:val="00360F68"/>
    <w:rsid w:val="003658A4"/>
    <w:rsid w:val="00366469"/>
    <w:rsid w:val="003748BD"/>
    <w:rsid w:val="00374B58"/>
    <w:rsid w:val="00376445"/>
    <w:rsid w:val="0038157E"/>
    <w:rsid w:val="003868EF"/>
    <w:rsid w:val="0038770D"/>
    <w:rsid w:val="003926D3"/>
    <w:rsid w:val="00392CD3"/>
    <w:rsid w:val="00393835"/>
    <w:rsid w:val="0039576D"/>
    <w:rsid w:val="003A0F2E"/>
    <w:rsid w:val="003A1C3E"/>
    <w:rsid w:val="003A2E32"/>
    <w:rsid w:val="003A5D34"/>
    <w:rsid w:val="003A6155"/>
    <w:rsid w:val="003A630B"/>
    <w:rsid w:val="003B0070"/>
    <w:rsid w:val="003B4841"/>
    <w:rsid w:val="003B6121"/>
    <w:rsid w:val="003C0EF6"/>
    <w:rsid w:val="003C28A6"/>
    <w:rsid w:val="003D0324"/>
    <w:rsid w:val="003D0E8E"/>
    <w:rsid w:val="003D12D5"/>
    <w:rsid w:val="003D2D25"/>
    <w:rsid w:val="003D342B"/>
    <w:rsid w:val="003D74C4"/>
    <w:rsid w:val="003E353C"/>
    <w:rsid w:val="003E4F14"/>
    <w:rsid w:val="003F51CA"/>
    <w:rsid w:val="004019FE"/>
    <w:rsid w:val="00406CBD"/>
    <w:rsid w:val="004152F8"/>
    <w:rsid w:val="004153B4"/>
    <w:rsid w:val="004209C3"/>
    <w:rsid w:val="00420A46"/>
    <w:rsid w:val="0042213C"/>
    <w:rsid w:val="00425733"/>
    <w:rsid w:val="00433303"/>
    <w:rsid w:val="00433907"/>
    <w:rsid w:val="00442AB1"/>
    <w:rsid w:val="00443316"/>
    <w:rsid w:val="0044687C"/>
    <w:rsid w:val="004526FD"/>
    <w:rsid w:val="0046432F"/>
    <w:rsid w:val="00464526"/>
    <w:rsid w:val="00464C2B"/>
    <w:rsid w:val="00464E18"/>
    <w:rsid w:val="004654B0"/>
    <w:rsid w:val="0047165B"/>
    <w:rsid w:val="0047176B"/>
    <w:rsid w:val="004730CC"/>
    <w:rsid w:val="00474A58"/>
    <w:rsid w:val="00476050"/>
    <w:rsid w:val="00476A91"/>
    <w:rsid w:val="00483D7C"/>
    <w:rsid w:val="00487536"/>
    <w:rsid w:val="00491799"/>
    <w:rsid w:val="00493D84"/>
    <w:rsid w:val="00496B0A"/>
    <w:rsid w:val="004A0286"/>
    <w:rsid w:val="004A22B0"/>
    <w:rsid w:val="004A5548"/>
    <w:rsid w:val="004A6355"/>
    <w:rsid w:val="004A6A3B"/>
    <w:rsid w:val="004B2A5C"/>
    <w:rsid w:val="004B2C79"/>
    <w:rsid w:val="004C3932"/>
    <w:rsid w:val="004C5839"/>
    <w:rsid w:val="004C6784"/>
    <w:rsid w:val="004D10FD"/>
    <w:rsid w:val="004D31C0"/>
    <w:rsid w:val="004D7415"/>
    <w:rsid w:val="004D7709"/>
    <w:rsid w:val="004E4879"/>
    <w:rsid w:val="004E6EC0"/>
    <w:rsid w:val="004E7B37"/>
    <w:rsid w:val="004F0A10"/>
    <w:rsid w:val="004F21A3"/>
    <w:rsid w:val="004F35A2"/>
    <w:rsid w:val="004F4317"/>
    <w:rsid w:val="005026A9"/>
    <w:rsid w:val="005037AF"/>
    <w:rsid w:val="00503E32"/>
    <w:rsid w:val="00505180"/>
    <w:rsid w:val="005109E5"/>
    <w:rsid w:val="00513B50"/>
    <w:rsid w:val="00516109"/>
    <w:rsid w:val="00517029"/>
    <w:rsid w:val="00521F19"/>
    <w:rsid w:val="005227E2"/>
    <w:rsid w:val="005306D6"/>
    <w:rsid w:val="0053109B"/>
    <w:rsid w:val="005315AC"/>
    <w:rsid w:val="00534F75"/>
    <w:rsid w:val="00541F85"/>
    <w:rsid w:val="00543723"/>
    <w:rsid w:val="00545EF8"/>
    <w:rsid w:val="00547281"/>
    <w:rsid w:val="00561AD9"/>
    <w:rsid w:val="00564ACD"/>
    <w:rsid w:val="00564BB3"/>
    <w:rsid w:val="00564D56"/>
    <w:rsid w:val="005677CB"/>
    <w:rsid w:val="0057272F"/>
    <w:rsid w:val="00575ECC"/>
    <w:rsid w:val="00577E21"/>
    <w:rsid w:val="00585287"/>
    <w:rsid w:val="005852DD"/>
    <w:rsid w:val="0058632D"/>
    <w:rsid w:val="0058686D"/>
    <w:rsid w:val="00595371"/>
    <w:rsid w:val="00595705"/>
    <w:rsid w:val="00595B05"/>
    <w:rsid w:val="00595F00"/>
    <w:rsid w:val="005969DE"/>
    <w:rsid w:val="005A40BB"/>
    <w:rsid w:val="005A512A"/>
    <w:rsid w:val="005A5973"/>
    <w:rsid w:val="005B6A51"/>
    <w:rsid w:val="005C038B"/>
    <w:rsid w:val="005C3DE8"/>
    <w:rsid w:val="005C44CF"/>
    <w:rsid w:val="005D2D80"/>
    <w:rsid w:val="005D4E61"/>
    <w:rsid w:val="005E0D12"/>
    <w:rsid w:val="005E0F45"/>
    <w:rsid w:val="005E5899"/>
    <w:rsid w:val="005F213B"/>
    <w:rsid w:val="005F23BB"/>
    <w:rsid w:val="005F3740"/>
    <w:rsid w:val="005F4C83"/>
    <w:rsid w:val="005F5DE1"/>
    <w:rsid w:val="00600157"/>
    <w:rsid w:val="00601E58"/>
    <w:rsid w:val="00602729"/>
    <w:rsid w:val="00602F35"/>
    <w:rsid w:val="00610BA3"/>
    <w:rsid w:val="00611AFE"/>
    <w:rsid w:val="00611BD2"/>
    <w:rsid w:val="006153B1"/>
    <w:rsid w:val="006200CD"/>
    <w:rsid w:val="006208D7"/>
    <w:rsid w:val="00621CF6"/>
    <w:rsid w:val="006234F5"/>
    <w:rsid w:val="006273EE"/>
    <w:rsid w:val="00630030"/>
    <w:rsid w:val="00630204"/>
    <w:rsid w:val="0063030D"/>
    <w:rsid w:val="00641FE0"/>
    <w:rsid w:val="00662F31"/>
    <w:rsid w:val="006705D7"/>
    <w:rsid w:val="00671B3A"/>
    <w:rsid w:val="00673EDF"/>
    <w:rsid w:val="00675B71"/>
    <w:rsid w:val="00685F46"/>
    <w:rsid w:val="006867A6"/>
    <w:rsid w:val="0069295D"/>
    <w:rsid w:val="0069465B"/>
    <w:rsid w:val="006B12CA"/>
    <w:rsid w:val="006B276D"/>
    <w:rsid w:val="006B5BA2"/>
    <w:rsid w:val="006B6F6F"/>
    <w:rsid w:val="006C263F"/>
    <w:rsid w:val="006C2DCB"/>
    <w:rsid w:val="006C5170"/>
    <w:rsid w:val="006D03E1"/>
    <w:rsid w:val="006D0871"/>
    <w:rsid w:val="006D5BFD"/>
    <w:rsid w:val="006E2396"/>
    <w:rsid w:val="006E2C90"/>
    <w:rsid w:val="006F0BDE"/>
    <w:rsid w:val="006F0EAB"/>
    <w:rsid w:val="006F1D84"/>
    <w:rsid w:val="006F2437"/>
    <w:rsid w:val="006F76D7"/>
    <w:rsid w:val="007005CC"/>
    <w:rsid w:val="00705D6D"/>
    <w:rsid w:val="00710779"/>
    <w:rsid w:val="007124EE"/>
    <w:rsid w:val="00712964"/>
    <w:rsid w:val="00712B4F"/>
    <w:rsid w:val="00714E26"/>
    <w:rsid w:val="0073269C"/>
    <w:rsid w:val="00735DB8"/>
    <w:rsid w:val="00737F6A"/>
    <w:rsid w:val="00739769"/>
    <w:rsid w:val="00745F90"/>
    <w:rsid w:val="00746AC8"/>
    <w:rsid w:val="007500B2"/>
    <w:rsid w:val="007504E3"/>
    <w:rsid w:val="007509A8"/>
    <w:rsid w:val="0075571C"/>
    <w:rsid w:val="00762A9B"/>
    <w:rsid w:val="00764AE5"/>
    <w:rsid w:val="00765131"/>
    <w:rsid w:val="00773EC7"/>
    <w:rsid w:val="007745C4"/>
    <w:rsid w:val="00777ED1"/>
    <w:rsid w:val="00783718"/>
    <w:rsid w:val="00793178"/>
    <w:rsid w:val="00793ADA"/>
    <w:rsid w:val="00793E4A"/>
    <w:rsid w:val="007A0A12"/>
    <w:rsid w:val="007A232A"/>
    <w:rsid w:val="007A2DA7"/>
    <w:rsid w:val="007A7A9F"/>
    <w:rsid w:val="007B15A0"/>
    <w:rsid w:val="007B4375"/>
    <w:rsid w:val="007C21A5"/>
    <w:rsid w:val="007C309D"/>
    <w:rsid w:val="007C5400"/>
    <w:rsid w:val="007C6423"/>
    <w:rsid w:val="007C6E8A"/>
    <w:rsid w:val="007C79B3"/>
    <w:rsid w:val="007D083F"/>
    <w:rsid w:val="007D1663"/>
    <w:rsid w:val="007D1B08"/>
    <w:rsid w:val="007D44C0"/>
    <w:rsid w:val="007D7B85"/>
    <w:rsid w:val="007E09F4"/>
    <w:rsid w:val="007F0C72"/>
    <w:rsid w:val="007F1832"/>
    <w:rsid w:val="007F56DF"/>
    <w:rsid w:val="007F632F"/>
    <w:rsid w:val="007F66B9"/>
    <w:rsid w:val="0080105A"/>
    <w:rsid w:val="00801744"/>
    <w:rsid w:val="0080269F"/>
    <w:rsid w:val="00804692"/>
    <w:rsid w:val="0080539A"/>
    <w:rsid w:val="00805536"/>
    <w:rsid w:val="00810312"/>
    <w:rsid w:val="0081167A"/>
    <w:rsid w:val="00812DD5"/>
    <w:rsid w:val="00824147"/>
    <w:rsid w:val="00825B66"/>
    <w:rsid w:val="00827057"/>
    <w:rsid w:val="008351CE"/>
    <w:rsid w:val="00835850"/>
    <w:rsid w:val="0083622C"/>
    <w:rsid w:val="00841328"/>
    <w:rsid w:val="00845406"/>
    <w:rsid w:val="008521E6"/>
    <w:rsid w:val="00853412"/>
    <w:rsid w:val="00857744"/>
    <w:rsid w:val="00860362"/>
    <w:rsid w:val="00862130"/>
    <w:rsid w:val="00866640"/>
    <w:rsid w:val="00866CD1"/>
    <w:rsid w:val="00871357"/>
    <w:rsid w:val="00875A5D"/>
    <w:rsid w:val="008804B7"/>
    <w:rsid w:val="008813C0"/>
    <w:rsid w:val="0088436C"/>
    <w:rsid w:val="008916F5"/>
    <w:rsid w:val="00892D8D"/>
    <w:rsid w:val="00893E4E"/>
    <w:rsid w:val="00895557"/>
    <w:rsid w:val="008A01FD"/>
    <w:rsid w:val="008A08A9"/>
    <w:rsid w:val="008A0AD5"/>
    <w:rsid w:val="008A208D"/>
    <w:rsid w:val="008A3F69"/>
    <w:rsid w:val="008A44DB"/>
    <w:rsid w:val="008B4E0C"/>
    <w:rsid w:val="008B7B55"/>
    <w:rsid w:val="008C2CDC"/>
    <w:rsid w:val="008C597D"/>
    <w:rsid w:val="008C628E"/>
    <w:rsid w:val="008D4D87"/>
    <w:rsid w:val="008D5EE2"/>
    <w:rsid w:val="008D61EF"/>
    <w:rsid w:val="008D7C3B"/>
    <w:rsid w:val="008E1D83"/>
    <w:rsid w:val="00901F32"/>
    <w:rsid w:val="00903641"/>
    <w:rsid w:val="00903EDE"/>
    <w:rsid w:val="0090735C"/>
    <w:rsid w:val="00914B31"/>
    <w:rsid w:val="00921A88"/>
    <w:rsid w:val="0092429E"/>
    <w:rsid w:val="0092771B"/>
    <w:rsid w:val="00933FDD"/>
    <w:rsid w:val="009425E4"/>
    <w:rsid w:val="00942BF0"/>
    <w:rsid w:val="009439FE"/>
    <w:rsid w:val="00943EAF"/>
    <w:rsid w:val="00946CCB"/>
    <w:rsid w:val="00947069"/>
    <w:rsid w:val="00947A4B"/>
    <w:rsid w:val="009578E8"/>
    <w:rsid w:val="00957D47"/>
    <w:rsid w:val="0096045C"/>
    <w:rsid w:val="00963B07"/>
    <w:rsid w:val="00966DB0"/>
    <w:rsid w:val="0097353E"/>
    <w:rsid w:val="00973B74"/>
    <w:rsid w:val="00973FAC"/>
    <w:rsid w:val="00974F37"/>
    <w:rsid w:val="009836E1"/>
    <w:rsid w:val="0098395D"/>
    <w:rsid w:val="00985A29"/>
    <w:rsid w:val="00991638"/>
    <w:rsid w:val="00992A8F"/>
    <w:rsid w:val="009A2BCD"/>
    <w:rsid w:val="009A3B8E"/>
    <w:rsid w:val="009A55F2"/>
    <w:rsid w:val="009B44A3"/>
    <w:rsid w:val="009B5698"/>
    <w:rsid w:val="009B6BE7"/>
    <w:rsid w:val="009C01A8"/>
    <w:rsid w:val="009C0792"/>
    <w:rsid w:val="009C75A6"/>
    <w:rsid w:val="009D0191"/>
    <w:rsid w:val="009D1E04"/>
    <w:rsid w:val="009D456E"/>
    <w:rsid w:val="009E2319"/>
    <w:rsid w:val="009E52D1"/>
    <w:rsid w:val="009E6A38"/>
    <w:rsid w:val="009E7FD0"/>
    <w:rsid w:val="009F268E"/>
    <w:rsid w:val="009F2F34"/>
    <w:rsid w:val="009F7A29"/>
    <w:rsid w:val="00A002F0"/>
    <w:rsid w:val="00A004F2"/>
    <w:rsid w:val="00A0056F"/>
    <w:rsid w:val="00A0188E"/>
    <w:rsid w:val="00A01B66"/>
    <w:rsid w:val="00A102DF"/>
    <w:rsid w:val="00A108A1"/>
    <w:rsid w:val="00A11493"/>
    <w:rsid w:val="00A168AE"/>
    <w:rsid w:val="00A16F24"/>
    <w:rsid w:val="00A23360"/>
    <w:rsid w:val="00A270DA"/>
    <w:rsid w:val="00A300F4"/>
    <w:rsid w:val="00A31F8F"/>
    <w:rsid w:val="00A331DE"/>
    <w:rsid w:val="00A36E34"/>
    <w:rsid w:val="00A37372"/>
    <w:rsid w:val="00A41506"/>
    <w:rsid w:val="00A423C2"/>
    <w:rsid w:val="00A4522A"/>
    <w:rsid w:val="00A51A5B"/>
    <w:rsid w:val="00A53007"/>
    <w:rsid w:val="00A5499C"/>
    <w:rsid w:val="00A54F06"/>
    <w:rsid w:val="00A558B9"/>
    <w:rsid w:val="00A649F1"/>
    <w:rsid w:val="00A651F4"/>
    <w:rsid w:val="00A6677A"/>
    <w:rsid w:val="00A720E6"/>
    <w:rsid w:val="00A74DF3"/>
    <w:rsid w:val="00A76766"/>
    <w:rsid w:val="00A77716"/>
    <w:rsid w:val="00A77B07"/>
    <w:rsid w:val="00A8021D"/>
    <w:rsid w:val="00A80AFE"/>
    <w:rsid w:val="00A83BA9"/>
    <w:rsid w:val="00A84255"/>
    <w:rsid w:val="00A858FB"/>
    <w:rsid w:val="00A864A6"/>
    <w:rsid w:val="00A91198"/>
    <w:rsid w:val="00A96619"/>
    <w:rsid w:val="00A97CF1"/>
    <w:rsid w:val="00AA4A3D"/>
    <w:rsid w:val="00AB13FA"/>
    <w:rsid w:val="00AB194F"/>
    <w:rsid w:val="00AB2987"/>
    <w:rsid w:val="00AD228E"/>
    <w:rsid w:val="00AD60E5"/>
    <w:rsid w:val="00AE105E"/>
    <w:rsid w:val="00AE4244"/>
    <w:rsid w:val="00AE567F"/>
    <w:rsid w:val="00B014BB"/>
    <w:rsid w:val="00B0433F"/>
    <w:rsid w:val="00B05A52"/>
    <w:rsid w:val="00B102DB"/>
    <w:rsid w:val="00B10989"/>
    <w:rsid w:val="00B10E76"/>
    <w:rsid w:val="00B11587"/>
    <w:rsid w:val="00B116B4"/>
    <w:rsid w:val="00B14414"/>
    <w:rsid w:val="00B148F9"/>
    <w:rsid w:val="00B14F52"/>
    <w:rsid w:val="00B17A6A"/>
    <w:rsid w:val="00B202A1"/>
    <w:rsid w:val="00B20DEE"/>
    <w:rsid w:val="00B21CCF"/>
    <w:rsid w:val="00B21E0B"/>
    <w:rsid w:val="00B2659A"/>
    <w:rsid w:val="00B273ED"/>
    <w:rsid w:val="00B30646"/>
    <w:rsid w:val="00B31769"/>
    <w:rsid w:val="00B32056"/>
    <w:rsid w:val="00B32F54"/>
    <w:rsid w:val="00B34A84"/>
    <w:rsid w:val="00B34F0B"/>
    <w:rsid w:val="00B4481C"/>
    <w:rsid w:val="00B46EBC"/>
    <w:rsid w:val="00B50105"/>
    <w:rsid w:val="00B50CE2"/>
    <w:rsid w:val="00B50DAF"/>
    <w:rsid w:val="00B53D85"/>
    <w:rsid w:val="00B549BD"/>
    <w:rsid w:val="00B6014A"/>
    <w:rsid w:val="00B644C2"/>
    <w:rsid w:val="00B66485"/>
    <w:rsid w:val="00B768D6"/>
    <w:rsid w:val="00B858D0"/>
    <w:rsid w:val="00B87A1F"/>
    <w:rsid w:val="00B87AAA"/>
    <w:rsid w:val="00B87D66"/>
    <w:rsid w:val="00B93285"/>
    <w:rsid w:val="00B94D6C"/>
    <w:rsid w:val="00B97356"/>
    <w:rsid w:val="00B97671"/>
    <w:rsid w:val="00BA1DE3"/>
    <w:rsid w:val="00BA2609"/>
    <w:rsid w:val="00BA393F"/>
    <w:rsid w:val="00BB0006"/>
    <w:rsid w:val="00BB045B"/>
    <w:rsid w:val="00BB0909"/>
    <w:rsid w:val="00BB5DC6"/>
    <w:rsid w:val="00BB75EA"/>
    <w:rsid w:val="00BC15E3"/>
    <w:rsid w:val="00BC386F"/>
    <w:rsid w:val="00BC52AE"/>
    <w:rsid w:val="00BC6BD1"/>
    <w:rsid w:val="00BD28D7"/>
    <w:rsid w:val="00BD6656"/>
    <w:rsid w:val="00BD78F6"/>
    <w:rsid w:val="00BE0D92"/>
    <w:rsid w:val="00BE3127"/>
    <w:rsid w:val="00BE35AA"/>
    <w:rsid w:val="00BE3F42"/>
    <w:rsid w:val="00BF064F"/>
    <w:rsid w:val="00BF5F5B"/>
    <w:rsid w:val="00BF6409"/>
    <w:rsid w:val="00BF6DE1"/>
    <w:rsid w:val="00BF7735"/>
    <w:rsid w:val="00C0097A"/>
    <w:rsid w:val="00C0181C"/>
    <w:rsid w:val="00C037A9"/>
    <w:rsid w:val="00C07274"/>
    <w:rsid w:val="00C1298F"/>
    <w:rsid w:val="00C133E7"/>
    <w:rsid w:val="00C156F4"/>
    <w:rsid w:val="00C2045B"/>
    <w:rsid w:val="00C26320"/>
    <w:rsid w:val="00C30308"/>
    <w:rsid w:val="00C36B2B"/>
    <w:rsid w:val="00C41D73"/>
    <w:rsid w:val="00C5121A"/>
    <w:rsid w:val="00C55E08"/>
    <w:rsid w:val="00C64D6E"/>
    <w:rsid w:val="00C651F3"/>
    <w:rsid w:val="00C67448"/>
    <w:rsid w:val="00C7400B"/>
    <w:rsid w:val="00C751AE"/>
    <w:rsid w:val="00C803F3"/>
    <w:rsid w:val="00C847DF"/>
    <w:rsid w:val="00C87F7B"/>
    <w:rsid w:val="00C92303"/>
    <w:rsid w:val="00C93EAC"/>
    <w:rsid w:val="00CA05F0"/>
    <w:rsid w:val="00CA1C55"/>
    <w:rsid w:val="00CA214E"/>
    <w:rsid w:val="00CA4F31"/>
    <w:rsid w:val="00CA5A29"/>
    <w:rsid w:val="00CB6034"/>
    <w:rsid w:val="00CB6160"/>
    <w:rsid w:val="00CB627D"/>
    <w:rsid w:val="00CC0AF2"/>
    <w:rsid w:val="00CC0F41"/>
    <w:rsid w:val="00CC20EB"/>
    <w:rsid w:val="00CC47BA"/>
    <w:rsid w:val="00CD6D29"/>
    <w:rsid w:val="00CE3044"/>
    <w:rsid w:val="00CE3FC3"/>
    <w:rsid w:val="00CE45C7"/>
    <w:rsid w:val="00CF099F"/>
    <w:rsid w:val="00CF251E"/>
    <w:rsid w:val="00D00E98"/>
    <w:rsid w:val="00D043AB"/>
    <w:rsid w:val="00D07F11"/>
    <w:rsid w:val="00D207A7"/>
    <w:rsid w:val="00D23B9E"/>
    <w:rsid w:val="00D24075"/>
    <w:rsid w:val="00D30AE6"/>
    <w:rsid w:val="00D31C75"/>
    <w:rsid w:val="00D31D37"/>
    <w:rsid w:val="00D43864"/>
    <w:rsid w:val="00D4629A"/>
    <w:rsid w:val="00D531FE"/>
    <w:rsid w:val="00D565EA"/>
    <w:rsid w:val="00D5773B"/>
    <w:rsid w:val="00D628A2"/>
    <w:rsid w:val="00D62B95"/>
    <w:rsid w:val="00D62E0D"/>
    <w:rsid w:val="00D62EDC"/>
    <w:rsid w:val="00D64CBA"/>
    <w:rsid w:val="00D67C67"/>
    <w:rsid w:val="00D70104"/>
    <w:rsid w:val="00D701A0"/>
    <w:rsid w:val="00D710EC"/>
    <w:rsid w:val="00D72084"/>
    <w:rsid w:val="00D753FB"/>
    <w:rsid w:val="00D80179"/>
    <w:rsid w:val="00D86907"/>
    <w:rsid w:val="00D8790D"/>
    <w:rsid w:val="00D9033A"/>
    <w:rsid w:val="00D94A54"/>
    <w:rsid w:val="00DA22D5"/>
    <w:rsid w:val="00DA2B04"/>
    <w:rsid w:val="00DA6201"/>
    <w:rsid w:val="00DB1670"/>
    <w:rsid w:val="00DB354B"/>
    <w:rsid w:val="00DB4468"/>
    <w:rsid w:val="00DB5818"/>
    <w:rsid w:val="00DB5D92"/>
    <w:rsid w:val="00DC7D8A"/>
    <w:rsid w:val="00DE076B"/>
    <w:rsid w:val="00DE504C"/>
    <w:rsid w:val="00DF0040"/>
    <w:rsid w:val="00DF7282"/>
    <w:rsid w:val="00DF7819"/>
    <w:rsid w:val="00E004A1"/>
    <w:rsid w:val="00E0573F"/>
    <w:rsid w:val="00E22A5F"/>
    <w:rsid w:val="00E22ED3"/>
    <w:rsid w:val="00E26BBF"/>
    <w:rsid w:val="00E26D30"/>
    <w:rsid w:val="00E27804"/>
    <w:rsid w:val="00E32555"/>
    <w:rsid w:val="00E32EC3"/>
    <w:rsid w:val="00E33B86"/>
    <w:rsid w:val="00E35257"/>
    <w:rsid w:val="00E36CCA"/>
    <w:rsid w:val="00E37D83"/>
    <w:rsid w:val="00E40FA7"/>
    <w:rsid w:val="00E4266C"/>
    <w:rsid w:val="00E4305E"/>
    <w:rsid w:val="00E526DB"/>
    <w:rsid w:val="00E54E20"/>
    <w:rsid w:val="00E60587"/>
    <w:rsid w:val="00E63E5C"/>
    <w:rsid w:val="00E6421C"/>
    <w:rsid w:val="00E66539"/>
    <w:rsid w:val="00E67830"/>
    <w:rsid w:val="00E76F24"/>
    <w:rsid w:val="00E829DA"/>
    <w:rsid w:val="00E83CAF"/>
    <w:rsid w:val="00E84D26"/>
    <w:rsid w:val="00E95FAA"/>
    <w:rsid w:val="00E96919"/>
    <w:rsid w:val="00EA5F77"/>
    <w:rsid w:val="00EA60F1"/>
    <w:rsid w:val="00EA73C3"/>
    <w:rsid w:val="00EB2664"/>
    <w:rsid w:val="00EB74C0"/>
    <w:rsid w:val="00EC153A"/>
    <w:rsid w:val="00EC27CC"/>
    <w:rsid w:val="00EC37F9"/>
    <w:rsid w:val="00EC3CE3"/>
    <w:rsid w:val="00EC3D5C"/>
    <w:rsid w:val="00EC7BAD"/>
    <w:rsid w:val="00EC7DA5"/>
    <w:rsid w:val="00ED1B3B"/>
    <w:rsid w:val="00ED69B7"/>
    <w:rsid w:val="00ED7FEC"/>
    <w:rsid w:val="00EE76DD"/>
    <w:rsid w:val="00EE7DAD"/>
    <w:rsid w:val="00EF0577"/>
    <w:rsid w:val="00EF12D7"/>
    <w:rsid w:val="00EF76E9"/>
    <w:rsid w:val="00F02FF4"/>
    <w:rsid w:val="00F12BB3"/>
    <w:rsid w:val="00F147D4"/>
    <w:rsid w:val="00F2287A"/>
    <w:rsid w:val="00F231D0"/>
    <w:rsid w:val="00F257A6"/>
    <w:rsid w:val="00F26A72"/>
    <w:rsid w:val="00F272F8"/>
    <w:rsid w:val="00F30D00"/>
    <w:rsid w:val="00F31AE4"/>
    <w:rsid w:val="00F3738C"/>
    <w:rsid w:val="00F44DBA"/>
    <w:rsid w:val="00F461CC"/>
    <w:rsid w:val="00F51B30"/>
    <w:rsid w:val="00F52179"/>
    <w:rsid w:val="00F528C6"/>
    <w:rsid w:val="00F57200"/>
    <w:rsid w:val="00F63D42"/>
    <w:rsid w:val="00F65BCE"/>
    <w:rsid w:val="00F71AD0"/>
    <w:rsid w:val="00F72CB4"/>
    <w:rsid w:val="00F74B0D"/>
    <w:rsid w:val="00F7556B"/>
    <w:rsid w:val="00F82436"/>
    <w:rsid w:val="00F8305F"/>
    <w:rsid w:val="00F8333E"/>
    <w:rsid w:val="00F85069"/>
    <w:rsid w:val="00F85C15"/>
    <w:rsid w:val="00F86AF3"/>
    <w:rsid w:val="00F873FF"/>
    <w:rsid w:val="00F87D4A"/>
    <w:rsid w:val="00F90922"/>
    <w:rsid w:val="00F91BBC"/>
    <w:rsid w:val="00F944B8"/>
    <w:rsid w:val="00F95692"/>
    <w:rsid w:val="00F9668F"/>
    <w:rsid w:val="00FA3AFD"/>
    <w:rsid w:val="00FA575C"/>
    <w:rsid w:val="00FA70E5"/>
    <w:rsid w:val="00FA7AE4"/>
    <w:rsid w:val="00FB0878"/>
    <w:rsid w:val="00FB7E80"/>
    <w:rsid w:val="00FB7EFD"/>
    <w:rsid w:val="00FC195E"/>
    <w:rsid w:val="00FC24A7"/>
    <w:rsid w:val="00FC2BDA"/>
    <w:rsid w:val="00FC7F27"/>
    <w:rsid w:val="00FD6863"/>
    <w:rsid w:val="00FD7CCE"/>
    <w:rsid w:val="00FE4380"/>
    <w:rsid w:val="00FE7060"/>
    <w:rsid w:val="00FF2751"/>
    <w:rsid w:val="0383B027"/>
    <w:rsid w:val="04B841D9"/>
    <w:rsid w:val="04DA51F6"/>
    <w:rsid w:val="052D56A9"/>
    <w:rsid w:val="05313463"/>
    <w:rsid w:val="065C80B6"/>
    <w:rsid w:val="06916F6C"/>
    <w:rsid w:val="08B789C4"/>
    <w:rsid w:val="08F4F45D"/>
    <w:rsid w:val="0928F381"/>
    <w:rsid w:val="0A671471"/>
    <w:rsid w:val="0A823E1C"/>
    <w:rsid w:val="0A9066B6"/>
    <w:rsid w:val="0F718030"/>
    <w:rsid w:val="10559220"/>
    <w:rsid w:val="12034D78"/>
    <w:rsid w:val="1269D24A"/>
    <w:rsid w:val="138A5940"/>
    <w:rsid w:val="15877DA7"/>
    <w:rsid w:val="1637D32D"/>
    <w:rsid w:val="16DA7884"/>
    <w:rsid w:val="17F2A981"/>
    <w:rsid w:val="183B9551"/>
    <w:rsid w:val="18626BA5"/>
    <w:rsid w:val="1961A626"/>
    <w:rsid w:val="1B206045"/>
    <w:rsid w:val="1C0ADBC6"/>
    <w:rsid w:val="1C4C6E8D"/>
    <w:rsid w:val="1C9DB699"/>
    <w:rsid w:val="1CAD0DAE"/>
    <w:rsid w:val="1E99F144"/>
    <w:rsid w:val="1FC5B278"/>
    <w:rsid w:val="206867F1"/>
    <w:rsid w:val="20A1A9A4"/>
    <w:rsid w:val="20FCBA29"/>
    <w:rsid w:val="22CBDF4F"/>
    <w:rsid w:val="23BA9B78"/>
    <w:rsid w:val="249CA79E"/>
    <w:rsid w:val="26545F2B"/>
    <w:rsid w:val="26C4ED6C"/>
    <w:rsid w:val="270DE432"/>
    <w:rsid w:val="2A469A51"/>
    <w:rsid w:val="2A9CC19D"/>
    <w:rsid w:val="2AB4BD64"/>
    <w:rsid w:val="2B29A3DB"/>
    <w:rsid w:val="2D16A2D1"/>
    <w:rsid w:val="2E1D2FDF"/>
    <w:rsid w:val="2EE3DF83"/>
    <w:rsid w:val="2FD24CEF"/>
    <w:rsid w:val="30BB9340"/>
    <w:rsid w:val="31FB45FC"/>
    <w:rsid w:val="326D7F3F"/>
    <w:rsid w:val="3407BF1A"/>
    <w:rsid w:val="3532C1F8"/>
    <w:rsid w:val="3904369D"/>
    <w:rsid w:val="39D560F7"/>
    <w:rsid w:val="3A3D9B46"/>
    <w:rsid w:val="3B0467A1"/>
    <w:rsid w:val="3B17AE94"/>
    <w:rsid w:val="3B195913"/>
    <w:rsid w:val="3BA7C685"/>
    <w:rsid w:val="3BF98834"/>
    <w:rsid w:val="4197F3B6"/>
    <w:rsid w:val="4279BD04"/>
    <w:rsid w:val="43D5A2E2"/>
    <w:rsid w:val="45CF5F47"/>
    <w:rsid w:val="4607D37C"/>
    <w:rsid w:val="4826E9E8"/>
    <w:rsid w:val="4AA767F6"/>
    <w:rsid w:val="4EAFE893"/>
    <w:rsid w:val="500B60A5"/>
    <w:rsid w:val="51CB3CBA"/>
    <w:rsid w:val="52D2A38E"/>
    <w:rsid w:val="53283ED1"/>
    <w:rsid w:val="54AF8190"/>
    <w:rsid w:val="55909F5D"/>
    <w:rsid w:val="5595D566"/>
    <w:rsid w:val="563B85A6"/>
    <w:rsid w:val="5774FDB2"/>
    <w:rsid w:val="58A906CB"/>
    <w:rsid w:val="5A1D8052"/>
    <w:rsid w:val="5A60BC16"/>
    <w:rsid w:val="5AB01740"/>
    <w:rsid w:val="5F41A1DB"/>
    <w:rsid w:val="6088F800"/>
    <w:rsid w:val="61589D93"/>
    <w:rsid w:val="622D6A79"/>
    <w:rsid w:val="625E9B8D"/>
    <w:rsid w:val="62690B1B"/>
    <w:rsid w:val="6293812E"/>
    <w:rsid w:val="6617CF82"/>
    <w:rsid w:val="667E3F44"/>
    <w:rsid w:val="684F52FD"/>
    <w:rsid w:val="68CAE6FA"/>
    <w:rsid w:val="68CE5C45"/>
    <w:rsid w:val="69724E01"/>
    <w:rsid w:val="6C7C8729"/>
    <w:rsid w:val="6D098764"/>
    <w:rsid w:val="6F4ED24A"/>
    <w:rsid w:val="7055FFBD"/>
    <w:rsid w:val="73ECCC6F"/>
    <w:rsid w:val="74D543A0"/>
    <w:rsid w:val="75219A96"/>
    <w:rsid w:val="75E6487C"/>
    <w:rsid w:val="767892A8"/>
    <w:rsid w:val="768D21E8"/>
    <w:rsid w:val="78D4AF76"/>
    <w:rsid w:val="796EE407"/>
    <w:rsid w:val="7B593F90"/>
    <w:rsid w:val="7DEB8E94"/>
    <w:rsid w:val="7F53BEBD"/>
    <w:rsid w:val="7FC30E2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D1873C"/>
  <w15:docId w15:val="{6AC4336B-13F1-C746-A9CE-0D104C30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C21E7"/>
    <w:rPr>
      <w:color w:val="605E5C"/>
      <w:shd w:val="clear" w:color="auto" w:fill="E1DFDD"/>
    </w:rPr>
  </w:style>
  <w:style w:type="character" w:styleId="FollowedHyperlink">
    <w:name w:val="FollowedHyperlink"/>
    <w:basedOn w:val="DefaultParagraphFont"/>
    <w:uiPriority w:val="99"/>
    <w:semiHidden/>
    <w:unhideWhenUsed/>
    <w:rsid w:val="000C21E7"/>
    <w:rPr>
      <w:color w:val="96607D" w:themeColor="followedHyperlink"/>
      <w:u w:val="single"/>
    </w:rPr>
  </w:style>
  <w:style w:type="paragraph" w:styleId="Header">
    <w:name w:val="header"/>
    <w:basedOn w:val="Normal"/>
    <w:link w:val="HeaderChar"/>
    <w:uiPriority w:val="99"/>
    <w:semiHidden/>
    <w:unhideWhenUsed/>
    <w:rsid w:val="00071027"/>
    <w:pPr>
      <w:tabs>
        <w:tab w:val="center" w:pos="4680"/>
        <w:tab w:val="right" w:pos="9360"/>
      </w:tabs>
    </w:pPr>
  </w:style>
  <w:style w:type="character" w:customStyle="1" w:styleId="HeaderChar">
    <w:name w:val="Header Char"/>
    <w:basedOn w:val="DefaultParagraphFont"/>
    <w:link w:val="Header"/>
    <w:uiPriority w:val="99"/>
    <w:semiHidden/>
    <w:rsid w:val="00071027"/>
  </w:style>
  <w:style w:type="paragraph" w:styleId="Footer">
    <w:name w:val="footer"/>
    <w:basedOn w:val="Normal"/>
    <w:link w:val="FooterChar"/>
    <w:uiPriority w:val="99"/>
    <w:semiHidden/>
    <w:unhideWhenUsed/>
    <w:rsid w:val="00071027"/>
    <w:pPr>
      <w:tabs>
        <w:tab w:val="center" w:pos="4680"/>
        <w:tab w:val="right" w:pos="9360"/>
      </w:tabs>
    </w:pPr>
  </w:style>
  <w:style w:type="character" w:customStyle="1" w:styleId="FooterChar">
    <w:name w:val="Footer Char"/>
    <w:basedOn w:val="DefaultParagraphFont"/>
    <w:link w:val="Footer"/>
    <w:uiPriority w:val="99"/>
    <w:semiHidden/>
    <w:rsid w:val="00071027"/>
  </w:style>
  <w:style w:type="table" w:styleId="TableGrid">
    <w:name w:val="Table Grid"/>
    <w:basedOn w:val="TableNormal"/>
    <w:uiPriority w:val="39"/>
    <w:rsid w:val="007D08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D228E"/>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s://www.imf.org/" TargetMode="External"/><Relationship Id="rId13" Type="http://schemas.openxmlformats.org/officeDocument/2006/relationships/hyperlink" Target="https://www.gold.org/" TargetMode="External"/><Relationship Id="rId18" Type="http://schemas.openxmlformats.org/officeDocument/2006/relationships/header" Target="header2.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imf.org/" TargetMode="External"/><Relationship Id="rId12" Type="http://schemas.openxmlformats.org/officeDocument/2006/relationships/hyperlink" Target="https://www.gold.org/" TargetMode="External"/><Relationship Id="rId17" Type="http://schemas.openxmlformats.org/officeDocument/2006/relationships/footer" Target="footer1.xml"/><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ld.org/" TargetMode="External"/><Relationship Id="rId24"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finance.yahoo.com/" TargetMode="Externa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yperlink" Target="https://www.worldbank.or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learn.microsoft.com/power-bi" TargetMode="External"/><Relationship Id="rId14" Type="http://schemas.openxmlformats.org/officeDocument/2006/relationships/hyperlink" Target="https://www.kaggle.com/" TargetMode="External"/><Relationship Id="rId22" Type="http://schemas.openxmlformats.org/officeDocument/2006/relationships/header" Target="header4.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7195</Words>
  <Characters>40078</Characters>
  <Application>Microsoft Office Word</Application>
  <DocSecurity>0</DocSecurity>
  <Lines>3082</Lines>
  <Paragraphs>583</Paragraphs>
  <ScaleCrop>false</ScaleCrop>
  <Company/>
  <LinksUpToDate>false</LinksUpToDate>
  <CharactersWithSpaces>46690</CharactersWithSpaces>
  <SharedDoc>false</SharedDoc>
  <HLinks>
    <vt:vector size="54" baseType="variant">
      <vt:variant>
        <vt:i4>3407923</vt:i4>
      </vt:variant>
      <vt:variant>
        <vt:i4>24</vt:i4>
      </vt:variant>
      <vt:variant>
        <vt:i4>0</vt:i4>
      </vt:variant>
      <vt:variant>
        <vt:i4>5</vt:i4>
      </vt:variant>
      <vt:variant>
        <vt:lpwstr>https://finance.yahoo.com/</vt:lpwstr>
      </vt:variant>
      <vt:variant>
        <vt:lpwstr/>
      </vt:variant>
      <vt:variant>
        <vt:i4>2424929</vt:i4>
      </vt:variant>
      <vt:variant>
        <vt:i4>21</vt:i4>
      </vt:variant>
      <vt:variant>
        <vt:i4>0</vt:i4>
      </vt:variant>
      <vt:variant>
        <vt:i4>5</vt:i4>
      </vt:variant>
      <vt:variant>
        <vt:lpwstr>https://www.kaggle.com/</vt:lpwstr>
      </vt:variant>
      <vt:variant>
        <vt:lpwstr/>
      </vt:variant>
      <vt:variant>
        <vt:i4>4915223</vt:i4>
      </vt:variant>
      <vt:variant>
        <vt:i4>18</vt:i4>
      </vt:variant>
      <vt:variant>
        <vt:i4>0</vt:i4>
      </vt:variant>
      <vt:variant>
        <vt:i4>5</vt:i4>
      </vt:variant>
      <vt:variant>
        <vt:lpwstr>https://www.gold.org/</vt:lpwstr>
      </vt:variant>
      <vt:variant>
        <vt:lpwstr/>
      </vt:variant>
      <vt:variant>
        <vt:i4>4915223</vt:i4>
      </vt:variant>
      <vt:variant>
        <vt:i4>15</vt:i4>
      </vt:variant>
      <vt:variant>
        <vt:i4>0</vt:i4>
      </vt:variant>
      <vt:variant>
        <vt:i4>5</vt:i4>
      </vt:variant>
      <vt:variant>
        <vt:lpwstr>https://www.gold.org/</vt:lpwstr>
      </vt:variant>
      <vt:variant>
        <vt:lpwstr/>
      </vt:variant>
      <vt:variant>
        <vt:i4>4915223</vt:i4>
      </vt:variant>
      <vt:variant>
        <vt:i4>12</vt:i4>
      </vt:variant>
      <vt:variant>
        <vt:i4>0</vt:i4>
      </vt:variant>
      <vt:variant>
        <vt:i4>5</vt:i4>
      </vt:variant>
      <vt:variant>
        <vt:lpwstr>https://www.gold.org/</vt:lpwstr>
      </vt:variant>
      <vt:variant>
        <vt:lpwstr/>
      </vt:variant>
      <vt:variant>
        <vt:i4>3407907</vt:i4>
      </vt:variant>
      <vt:variant>
        <vt:i4>9</vt:i4>
      </vt:variant>
      <vt:variant>
        <vt:i4>0</vt:i4>
      </vt:variant>
      <vt:variant>
        <vt:i4>5</vt:i4>
      </vt:variant>
      <vt:variant>
        <vt:lpwstr>https://www.worldbank.org/</vt:lpwstr>
      </vt:variant>
      <vt:variant>
        <vt:lpwstr/>
      </vt:variant>
      <vt:variant>
        <vt:i4>393280</vt:i4>
      </vt:variant>
      <vt:variant>
        <vt:i4>6</vt:i4>
      </vt:variant>
      <vt:variant>
        <vt:i4>0</vt:i4>
      </vt:variant>
      <vt:variant>
        <vt:i4>5</vt:i4>
      </vt:variant>
      <vt:variant>
        <vt:lpwstr>https://learn.microsoft.com/power-bi</vt:lpwstr>
      </vt:variant>
      <vt:variant>
        <vt:lpwstr/>
      </vt:variant>
      <vt:variant>
        <vt:i4>5636167</vt:i4>
      </vt:variant>
      <vt:variant>
        <vt:i4>3</vt:i4>
      </vt:variant>
      <vt:variant>
        <vt:i4>0</vt:i4>
      </vt:variant>
      <vt:variant>
        <vt:i4>5</vt:i4>
      </vt:variant>
      <vt:variant>
        <vt:lpwstr>https://www.imf.org/</vt:lpwstr>
      </vt:variant>
      <vt:variant>
        <vt:lpwstr/>
      </vt:variant>
      <vt:variant>
        <vt:i4>5636167</vt:i4>
      </vt:variant>
      <vt:variant>
        <vt:i4>0</vt:i4>
      </vt:variant>
      <vt:variant>
        <vt:i4>0</vt:i4>
      </vt:variant>
      <vt:variant>
        <vt:i4>5</vt:i4>
      </vt:variant>
      <vt:variant>
        <vt:lpwstr>https://www.imf.org/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Aakanksha Mandal</cp:lastModifiedBy>
  <cp:revision>2</cp:revision>
  <dcterms:created xsi:type="dcterms:W3CDTF">2026-03-30T03:25:00Z</dcterms:created>
  <dcterms:modified xsi:type="dcterms:W3CDTF">2026-03-30T03:25:00Z</dcterms:modified>
</cp:coreProperties>
</file>