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UseContextMenu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Case: UseContextMenu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Level: Sub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Intention in Context: Intention of the Player is to use the context menu of a card in order to perform an action other than the default purchase of the card; reserving the card or viewing its respective tooltip.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Secondary Actor: Player (who can view and interact with the context menu triggered on a card)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Success Scenarios: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1.1. Current Player triggers a context menu on a card of their choice and informs the System that they would like to reserve a card from the game board.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1.2. System performs the ReserveDevelopmentCard function on the card the player has chosen.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1.3. The System checks the development card deck on the game board to see if a new card can be added to the row to replace the one that was purchased.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1.4. If the check is passed, the System updates the game board with the new card from the deck and informs the Player of the new game state.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2.1. Player(s) trigger a context menu on a card of their choice and inform the System that they would like to view the tooltip for that particular card.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2.2. The System retrieves the tooltip information for the card and displays it to the Player.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3a. System ensures that the number of cards in the deck pile of the corresponding row has not been depleted/reduced to 0; if so the card slot in the row is not replaced with a new development card.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