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0A949D1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3A9BE996" w14:textId="10E73E47" w:rsidR="0012711D" w:rsidRPr="009F274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9F274B"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</w:t>
            </w:r>
            <w:r w:rsidRPr="009F274B">
              <w:rPr>
                <w:rFonts w:ascii="Calibri" w:eastAsia="Calibri" w:hAnsi="Calibri" w:cs="Calibri"/>
                <w:i/>
                <w:color w:val="auto"/>
              </w:rPr>
              <w:t>determinar el grado de apropiación de los contenidos del componente formativo</w:t>
            </w:r>
            <w:r w:rsidR="00230CDA" w:rsidRPr="009F274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D65325" w:rsidRPr="009F274B">
              <w:rPr>
                <w:rFonts w:asciiTheme="majorHAnsi" w:eastAsia="Calibri" w:hAnsiTheme="majorHAnsi" w:cstheme="majorHAnsi"/>
                <w:i/>
                <w:color w:val="auto"/>
              </w:rPr>
              <w:t>«</w:t>
            </w:r>
            <w:r w:rsidR="00A3225F" w:rsidRPr="009F274B">
              <w:rPr>
                <w:rFonts w:asciiTheme="majorHAnsi" w:hAnsiTheme="majorHAnsi" w:cstheme="majorHAnsi"/>
                <w:i/>
                <w:color w:val="auto"/>
                <w:lang w:val="es-CO"/>
              </w:rPr>
              <w:t>Automatización y Monitoreo de Sistemas Productivos Agropecuarios</w:t>
            </w:r>
            <w:r w:rsidR="009F274B" w:rsidRPr="009F274B">
              <w:rPr>
                <w:rFonts w:asciiTheme="majorHAnsi" w:eastAsia="Calibri" w:hAnsiTheme="majorHAnsi" w:cstheme="majorHAnsi"/>
                <w:i/>
                <w:color w:val="000000"/>
              </w:rPr>
              <w:t>».</w:t>
            </w:r>
          </w:p>
          <w:p w14:paraId="29CDBAF6" w14:textId="3A5D7ED9" w:rsidR="0012711D" w:rsidRPr="009F274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9F274B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9F274B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5846214F" w:rsidR="00C57B0F" w:rsidRPr="004453AE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red"/>
                <w:lang w:val="es-CO"/>
              </w:rPr>
            </w:pP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Prueba tus conocimientos </w:t>
            </w:r>
            <w:r w:rsidRPr="004453AE">
              <w:rPr>
                <w:rFonts w:ascii="Calibri" w:eastAsia="Calibri" w:hAnsi="Calibri" w:cs="Calibri"/>
                <w:i/>
                <w:color w:val="auto"/>
              </w:rPr>
              <w:t xml:space="preserve">sobre </w:t>
            </w:r>
            <w:r w:rsidR="004453AE" w:rsidRPr="004453AE">
              <w:rPr>
                <w:rFonts w:ascii="Calibri" w:hAnsi="Calibri" w:cs="Calibri"/>
                <w:i/>
                <w:color w:val="auto"/>
                <w:lang w:val="es-CO"/>
              </w:rPr>
              <w:t>automatización y monitoreo de sistemas productivos agropecuarios</w:t>
            </w:r>
            <w:r w:rsidR="004453AE" w:rsidRPr="004453A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5769F68E" w:rsidR="00C57B0F" w:rsidRPr="000E3ADC" w:rsidRDefault="004453AE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453AE">
              <w:rPr>
                <w:rFonts w:ascii="Calibri" w:eastAsia="Calibri" w:hAnsi="Calibri" w:cs="Calibri"/>
                <w:i/>
                <w:color w:val="auto"/>
              </w:rPr>
              <w:t>Validar el conocimiento adquirido sobre automatización y monitoreo de sistemas productivos agropecuarios. 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70681695" w14:textId="77777777" w:rsidR="009F274B" w:rsidRDefault="009F274B"/>
    <w:p w14:paraId="371C92B2" w14:textId="77777777" w:rsidR="009F274B" w:rsidRDefault="009F274B"/>
    <w:p w14:paraId="21451A4A" w14:textId="77777777" w:rsidR="009F274B" w:rsidRDefault="009F274B"/>
    <w:p w14:paraId="04C6C03E" w14:textId="77777777" w:rsidR="009F274B" w:rsidRDefault="009F274B"/>
    <w:p w14:paraId="733FC403" w14:textId="77777777" w:rsidR="009F274B" w:rsidRDefault="009F274B"/>
    <w:p w14:paraId="38DD907F" w14:textId="77777777" w:rsidR="009F274B" w:rsidRDefault="009F274B"/>
    <w:p w14:paraId="59A9DE8B" w14:textId="77777777" w:rsidR="009F274B" w:rsidRDefault="009F274B"/>
    <w:p w14:paraId="6A5A9749" w14:textId="77777777" w:rsidR="009F274B" w:rsidRDefault="009F274B"/>
    <w:p w14:paraId="0C6C8601" w14:textId="77777777" w:rsidR="009F274B" w:rsidRDefault="009F274B"/>
    <w:p w14:paraId="1CDDBF96" w14:textId="77777777" w:rsidR="009F274B" w:rsidRDefault="009F274B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0F4D2053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Style w:val="Tablaconcuadrcula"/>
        <w:tblW w:w="555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84"/>
        <w:gridCol w:w="2223"/>
        <w:gridCol w:w="487"/>
        <w:gridCol w:w="487"/>
        <w:gridCol w:w="3116"/>
        <w:gridCol w:w="3116"/>
      </w:tblGrid>
      <w:tr w:rsidR="009F274B" w:rsidRPr="009F274B" w14:paraId="722750A6" w14:textId="77777777" w:rsidTr="009F274B">
        <w:trPr>
          <w:trHeight w:val="300"/>
          <w:tblHeader/>
        </w:trPr>
        <w:tc>
          <w:tcPr>
            <w:tcW w:w="292" w:type="pct"/>
            <w:shd w:val="clear" w:color="auto" w:fill="FBD4B4" w:themeFill="accent6" w:themeFillTint="66"/>
            <w:noWrap/>
            <w:vAlign w:val="center"/>
            <w:hideMark/>
          </w:tcPr>
          <w:p w14:paraId="60076EFC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#</w:t>
            </w:r>
          </w:p>
        </w:tc>
        <w:tc>
          <w:tcPr>
            <w:tcW w:w="1110" w:type="pct"/>
            <w:shd w:val="clear" w:color="auto" w:fill="FBD4B4" w:themeFill="accent6" w:themeFillTint="66"/>
            <w:noWrap/>
            <w:vAlign w:val="center"/>
            <w:hideMark/>
          </w:tcPr>
          <w:p w14:paraId="1839A286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Pregunta</w:t>
            </w:r>
          </w:p>
        </w:tc>
        <w:tc>
          <w:tcPr>
            <w:tcW w:w="243" w:type="pct"/>
            <w:shd w:val="clear" w:color="auto" w:fill="FBD4B4" w:themeFill="accent6" w:themeFillTint="66"/>
            <w:noWrap/>
            <w:vAlign w:val="center"/>
            <w:hideMark/>
          </w:tcPr>
          <w:p w14:paraId="761CB483" w14:textId="77777777" w:rsidR="009F274B" w:rsidRPr="009F274B" w:rsidRDefault="009F274B" w:rsidP="009F274B">
            <w:pPr>
              <w:spacing w:before="120" w:after="120"/>
              <w:rPr>
                <w:b/>
                <w:bCs/>
              </w:rPr>
            </w:pPr>
            <w:r w:rsidRPr="009F274B">
              <w:rPr>
                <w:b/>
                <w:bCs/>
              </w:rPr>
              <w:t>V</w:t>
            </w:r>
          </w:p>
        </w:tc>
        <w:tc>
          <w:tcPr>
            <w:tcW w:w="243" w:type="pct"/>
            <w:shd w:val="clear" w:color="auto" w:fill="FBD4B4" w:themeFill="accent6" w:themeFillTint="66"/>
            <w:noWrap/>
            <w:vAlign w:val="center"/>
            <w:hideMark/>
          </w:tcPr>
          <w:p w14:paraId="4645EA85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F</w:t>
            </w:r>
          </w:p>
        </w:tc>
        <w:tc>
          <w:tcPr>
            <w:tcW w:w="1556" w:type="pct"/>
            <w:shd w:val="clear" w:color="auto" w:fill="FBD4B4" w:themeFill="accent6" w:themeFillTint="66"/>
            <w:noWrap/>
            <w:vAlign w:val="center"/>
            <w:hideMark/>
          </w:tcPr>
          <w:p w14:paraId="0342BD92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Retroalimentación correcta</w:t>
            </w:r>
          </w:p>
        </w:tc>
        <w:tc>
          <w:tcPr>
            <w:tcW w:w="1556" w:type="pct"/>
            <w:shd w:val="clear" w:color="auto" w:fill="FBD4B4" w:themeFill="accent6" w:themeFillTint="66"/>
            <w:noWrap/>
            <w:vAlign w:val="center"/>
            <w:hideMark/>
          </w:tcPr>
          <w:p w14:paraId="326F47EE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Retroalimentación incorrecta</w:t>
            </w:r>
          </w:p>
        </w:tc>
      </w:tr>
      <w:tr w:rsidR="009F274B" w:rsidRPr="009F274B" w14:paraId="041DED13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694DE351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14:paraId="6C1693BB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La automatización en agricultura se limita exclusivamente al monitoreo del clima.</w:t>
            </w:r>
          </w:p>
        </w:tc>
        <w:tc>
          <w:tcPr>
            <w:tcW w:w="243" w:type="pct"/>
            <w:noWrap/>
            <w:vAlign w:val="center"/>
            <w:hideMark/>
          </w:tcPr>
          <w:p w14:paraId="392E700F" w14:textId="77777777" w:rsidR="009F274B" w:rsidRPr="009F274B" w:rsidRDefault="009F274B" w:rsidP="009F274B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458DC47E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6AB7F5D4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¡Correcto! La automatización abarca múltiples áreas como riego, fertilización, monitoreo de suelo y gestión pecuaria mediante diversas tecnologías.</w:t>
            </w:r>
          </w:p>
        </w:tc>
        <w:tc>
          <w:tcPr>
            <w:tcW w:w="1556" w:type="pct"/>
            <w:noWrap/>
            <w:vAlign w:val="center"/>
            <w:hideMark/>
          </w:tcPr>
          <w:p w14:paraId="2E5EC0F9" w14:textId="0D017633" w:rsidR="009F274B" w:rsidRPr="009F274B" w:rsidRDefault="008672FC" w:rsidP="009F274B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6F5D7CC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B1C928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2</w:t>
            </w:r>
          </w:p>
        </w:tc>
        <w:tc>
          <w:tcPr>
            <w:tcW w:w="1110" w:type="pct"/>
            <w:noWrap/>
            <w:vAlign w:val="center"/>
            <w:hideMark/>
          </w:tcPr>
          <w:p w14:paraId="622CEC8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El </w:t>
            </w:r>
            <w:proofErr w:type="spellStart"/>
            <w:r w:rsidRPr="009F274B">
              <w:t>NDVI</w:t>
            </w:r>
            <w:proofErr w:type="spellEnd"/>
            <w:r w:rsidRPr="009F274B">
              <w:t xml:space="preserve"> es un índice que mide la salud de los cultivos usando imágenes multiespectrales.</w:t>
            </w:r>
          </w:p>
        </w:tc>
        <w:tc>
          <w:tcPr>
            <w:tcW w:w="243" w:type="pct"/>
            <w:noWrap/>
            <w:vAlign w:val="center"/>
            <w:hideMark/>
          </w:tcPr>
          <w:p w14:paraId="7079C69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0AC44B67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278D58E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¡Exacto! El </w:t>
            </w:r>
            <w:proofErr w:type="spellStart"/>
            <w:r w:rsidRPr="009F274B">
              <w:t>NDVI</w:t>
            </w:r>
            <w:proofErr w:type="spellEnd"/>
            <w:r w:rsidRPr="009F274B">
              <w:t xml:space="preserve"> es fundamental en agricultura de precisión para evaluar el vigor de los cultivos y detectar problemas de crecimiento.</w:t>
            </w:r>
          </w:p>
        </w:tc>
        <w:tc>
          <w:tcPr>
            <w:tcW w:w="1556" w:type="pct"/>
            <w:noWrap/>
            <w:vAlign w:val="center"/>
            <w:hideMark/>
          </w:tcPr>
          <w:p w14:paraId="74986F61" w14:textId="52E2EF69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677D462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706474D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3</w:t>
            </w:r>
          </w:p>
        </w:tc>
        <w:tc>
          <w:tcPr>
            <w:tcW w:w="1110" w:type="pct"/>
            <w:noWrap/>
            <w:vAlign w:val="center"/>
            <w:hideMark/>
          </w:tcPr>
          <w:p w14:paraId="58E2493F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variabilidad espacial se refiere únicamente a las diferencias de humedad en el suelo.</w:t>
            </w:r>
          </w:p>
        </w:tc>
        <w:tc>
          <w:tcPr>
            <w:tcW w:w="243" w:type="pct"/>
            <w:noWrap/>
            <w:vAlign w:val="center"/>
            <w:hideMark/>
          </w:tcPr>
          <w:p w14:paraId="7C20CF1F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11B6E548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3086A8F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¡Correcto! La variabilidad espacial incluye múltiples factores como fertilidad, textura del suelo y condiciones </w:t>
            </w:r>
            <w:proofErr w:type="spellStart"/>
            <w:r w:rsidRPr="009F274B">
              <w:t>microclimáticas</w:t>
            </w:r>
            <w:proofErr w:type="spellEnd"/>
            <w:r w:rsidRPr="009F274B">
              <w:t>.</w:t>
            </w:r>
          </w:p>
        </w:tc>
        <w:tc>
          <w:tcPr>
            <w:tcW w:w="1556" w:type="pct"/>
            <w:noWrap/>
            <w:vAlign w:val="center"/>
            <w:hideMark/>
          </w:tcPr>
          <w:p w14:paraId="390BD85A" w14:textId="23F14A99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3EC715A6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E1B655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4</w:t>
            </w:r>
          </w:p>
        </w:tc>
        <w:tc>
          <w:tcPr>
            <w:tcW w:w="1110" w:type="pct"/>
            <w:noWrap/>
            <w:vAlign w:val="center"/>
            <w:hideMark/>
          </w:tcPr>
          <w:p w14:paraId="4C0C1EE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Los sistemas </w:t>
            </w:r>
            <w:proofErr w:type="spellStart"/>
            <w:r w:rsidRPr="009F274B">
              <w:t>SCADA</w:t>
            </w:r>
            <w:proofErr w:type="spellEnd"/>
            <w:r w:rsidRPr="009F274B">
              <w:t xml:space="preserve"> solo sirven para visualizar datos sin permitir control remoto.</w:t>
            </w:r>
          </w:p>
        </w:tc>
        <w:tc>
          <w:tcPr>
            <w:tcW w:w="243" w:type="pct"/>
            <w:noWrap/>
            <w:vAlign w:val="center"/>
            <w:hideMark/>
          </w:tcPr>
          <w:p w14:paraId="080ABC18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1EDEAA5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5F39288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¡Correcto! Los sistemas </w:t>
            </w:r>
            <w:proofErr w:type="spellStart"/>
            <w:r w:rsidRPr="009F274B">
              <w:t>SCADA</w:t>
            </w:r>
            <w:proofErr w:type="spellEnd"/>
            <w:r w:rsidRPr="009F274B">
              <w:t xml:space="preserve"> permiten tanto la supervisión como el control remoto de procesos agrícolas.</w:t>
            </w:r>
          </w:p>
        </w:tc>
        <w:tc>
          <w:tcPr>
            <w:tcW w:w="1556" w:type="pct"/>
            <w:noWrap/>
            <w:vAlign w:val="center"/>
            <w:hideMark/>
          </w:tcPr>
          <w:p w14:paraId="2ED50FAC" w14:textId="55F845B8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7DEDA108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769644D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5</w:t>
            </w:r>
          </w:p>
        </w:tc>
        <w:tc>
          <w:tcPr>
            <w:tcW w:w="1110" w:type="pct"/>
            <w:noWrap/>
            <w:vAlign w:val="center"/>
            <w:hideMark/>
          </w:tcPr>
          <w:p w14:paraId="7DDAD2A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drones agrícolas son útiles únicamente para tomar fotografías de los cultivos.</w:t>
            </w:r>
          </w:p>
        </w:tc>
        <w:tc>
          <w:tcPr>
            <w:tcW w:w="243" w:type="pct"/>
            <w:noWrap/>
            <w:vAlign w:val="center"/>
            <w:hideMark/>
          </w:tcPr>
          <w:p w14:paraId="4ED02A82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22FB8EF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27A8C6D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Los drones realizan múltiples funciones como mapeo, detección de plagas y evaluación de riego.</w:t>
            </w:r>
          </w:p>
        </w:tc>
        <w:tc>
          <w:tcPr>
            <w:tcW w:w="1556" w:type="pct"/>
            <w:noWrap/>
            <w:vAlign w:val="center"/>
            <w:hideMark/>
          </w:tcPr>
          <w:p w14:paraId="10E00A08" w14:textId="411ED8D4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24A6BA76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0479EB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6</w:t>
            </w:r>
          </w:p>
        </w:tc>
        <w:tc>
          <w:tcPr>
            <w:tcW w:w="1110" w:type="pct"/>
            <w:noWrap/>
            <w:vAlign w:val="center"/>
            <w:hideMark/>
          </w:tcPr>
          <w:p w14:paraId="76A111E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gestión integrada busca equilibrar productividad y sostenibilidad ambiental.</w:t>
            </w:r>
          </w:p>
        </w:tc>
        <w:tc>
          <w:tcPr>
            <w:tcW w:w="243" w:type="pct"/>
            <w:noWrap/>
            <w:vAlign w:val="center"/>
            <w:hideMark/>
          </w:tcPr>
          <w:p w14:paraId="1C39681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615B4725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05C53BE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Este enfoque coordina recursos para maximizar eficiencia y reducir impacto ambiental.</w:t>
            </w:r>
          </w:p>
        </w:tc>
        <w:tc>
          <w:tcPr>
            <w:tcW w:w="1556" w:type="pct"/>
            <w:noWrap/>
            <w:vAlign w:val="center"/>
            <w:hideMark/>
          </w:tcPr>
          <w:p w14:paraId="7A9797C8" w14:textId="29C2D302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B415565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B4BFC7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7</w:t>
            </w:r>
          </w:p>
        </w:tc>
        <w:tc>
          <w:tcPr>
            <w:tcW w:w="1110" w:type="pct"/>
            <w:noWrap/>
            <w:vAlign w:val="center"/>
            <w:hideMark/>
          </w:tcPr>
          <w:p w14:paraId="1D2017AD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Los sensores </w:t>
            </w:r>
            <w:proofErr w:type="spellStart"/>
            <w:r w:rsidRPr="009F274B">
              <w:t>IoT</w:t>
            </w:r>
            <w:proofErr w:type="spellEnd"/>
            <w:r w:rsidRPr="009F274B">
              <w:t xml:space="preserve"> requieren siempre conexión a internet para funcionar.</w:t>
            </w:r>
          </w:p>
        </w:tc>
        <w:tc>
          <w:tcPr>
            <w:tcW w:w="243" w:type="pct"/>
            <w:noWrap/>
            <w:vAlign w:val="center"/>
            <w:hideMark/>
          </w:tcPr>
          <w:p w14:paraId="73390A28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6E479737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4B810E6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La conectividad es esencial para la transmisión de datos en tiempo real.</w:t>
            </w:r>
          </w:p>
        </w:tc>
        <w:tc>
          <w:tcPr>
            <w:tcW w:w="1556" w:type="pct"/>
            <w:noWrap/>
            <w:vAlign w:val="center"/>
            <w:hideMark/>
          </w:tcPr>
          <w:p w14:paraId="31120472" w14:textId="6A893C2E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6BA73DBE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3475BE3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lastRenderedPageBreak/>
              <w:t>8</w:t>
            </w:r>
          </w:p>
        </w:tc>
        <w:tc>
          <w:tcPr>
            <w:tcW w:w="1110" w:type="pct"/>
            <w:noWrap/>
            <w:vAlign w:val="center"/>
            <w:hideMark/>
          </w:tcPr>
          <w:p w14:paraId="240EF22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El manejo específico por sitio aplica prácticas uniformes en toda la parcela.</w:t>
            </w:r>
          </w:p>
        </w:tc>
        <w:tc>
          <w:tcPr>
            <w:tcW w:w="243" w:type="pct"/>
            <w:noWrap/>
            <w:vAlign w:val="center"/>
            <w:hideMark/>
          </w:tcPr>
          <w:p w14:paraId="6C6BFE5B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0609DA8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43103AA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¡Correcto! El </w:t>
            </w:r>
            <w:proofErr w:type="spellStart"/>
            <w:r w:rsidRPr="009F274B">
              <w:t>MSS</w:t>
            </w:r>
            <w:proofErr w:type="spellEnd"/>
            <w:r w:rsidRPr="009F274B">
              <w:t xml:space="preserve"> adapta las prácticas según las condiciones específicas de cada zona.</w:t>
            </w:r>
          </w:p>
        </w:tc>
        <w:tc>
          <w:tcPr>
            <w:tcW w:w="1556" w:type="pct"/>
            <w:noWrap/>
            <w:vAlign w:val="center"/>
            <w:hideMark/>
          </w:tcPr>
          <w:p w14:paraId="60A66CC2" w14:textId="1DA1B176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411AAB0F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9F8981D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9</w:t>
            </w:r>
          </w:p>
        </w:tc>
        <w:tc>
          <w:tcPr>
            <w:tcW w:w="1110" w:type="pct"/>
            <w:noWrap/>
            <w:vAlign w:val="center"/>
            <w:hideMark/>
          </w:tcPr>
          <w:p w14:paraId="20F04E3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automatización en sistemas pecuarios solo controla la alimentación.</w:t>
            </w:r>
          </w:p>
        </w:tc>
        <w:tc>
          <w:tcPr>
            <w:tcW w:w="243" w:type="pct"/>
            <w:noWrap/>
            <w:vAlign w:val="center"/>
            <w:hideMark/>
          </w:tcPr>
          <w:p w14:paraId="3DF4E72C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77556B5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2304833D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También abarca monitoreo ambiental, salud animal y otras variables.</w:t>
            </w:r>
          </w:p>
        </w:tc>
        <w:tc>
          <w:tcPr>
            <w:tcW w:w="1556" w:type="pct"/>
            <w:noWrap/>
            <w:vAlign w:val="center"/>
            <w:hideMark/>
          </w:tcPr>
          <w:p w14:paraId="7F2B7454" w14:textId="2D80EFEA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731D99E1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372131B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10</w:t>
            </w:r>
          </w:p>
        </w:tc>
        <w:tc>
          <w:tcPr>
            <w:tcW w:w="1110" w:type="pct"/>
            <w:noWrap/>
            <w:vAlign w:val="center"/>
            <w:hideMark/>
          </w:tcPr>
          <w:p w14:paraId="0F7C4BF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planificación basada en datos reduce riesgos y optimiza recursos.</w:t>
            </w:r>
          </w:p>
        </w:tc>
        <w:tc>
          <w:tcPr>
            <w:tcW w:w="243" w:type="pct"/>
            <w:noWrap/>
            <w:vAlign w:val="center"/>
            <w:hideMark/>
          </w:tcPr>
          <w:p w14:paraId="2E79FA9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188F9334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570F00A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Permite anticipar problemas y ajustar el uso de insumos eficientemente.</w:t>
            </w:r>
          </w:p>
        </w:tc>
        <w:tc>
          <w:tcPr>
            <w:tcW w:w="1556" w:type="pct"/>
            <w:noWrap/>
            <w:vAlign w:val="center"/>
            <w:hideMark/>
          </w:tcPr>
          <w:p w14:paraId="759869BE" w14:textId="510361E7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81FE3B0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51A5305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11</w:t>
            </w:r>
          </w:p>
        </w:tc>
        <w:tc>
          <w:tcPr>
            <w:tcW w:w="1110" w:type="pct"/>
            <w:noWrap/>
            <w:vAlign w:val="center"/>
            <w:hideMark/>
          </w:tcPr>
          <w:p w14:paraId="493B7CB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sistemas automatizados solo benefician a grandes productores.</w:t>
            </w:r>
          </w:p>
        </w:tc>
        <w:tc>
          <w:tcPr>
            <w:tcW w:w="243" w:type="pct"/>
            <w:noWrap/>
            <w:vAlign w:val="center"/>
            <w:hideMark/>
          </w:tcPr>
          <w:p w14:paraId="0A2BC0BD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4B8DC0BE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182807B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La automatización puede adaptarse a diferentes escalas de producción.</w:t>
            </w:r>
          </w:p>
        </w:tc>
        <w:tc>
          <w:tcPr>
            <w:tcW w:w="1556" w:type="pct"/>
            <w:noWrap/>
            <w:vAlign w:val="center"/>
            <w:hideMark/>
          </w:tcPr>
          <w:p w14:paraId="52BC2D3A" w14:textId="039222E8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033BFC1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1A6E93B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12</w:t>
            </w:r>
          </w:p>
        </w:tc>
        <w:tc>
          <w:tcPr>
            <w:tcW w:w="1110" w:type="pct"/>
            <w:noWrap/>
            <w:vAlign w:val="center"/>
            <w:hideMark/>
          </w:tcPr>
          <w:p w14:paraId="1F25462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variabilidad temporal incluye solo cambios climáticos estacionales.</w:t>
            </w:r>
          </w:p>
        </w:tc>
        <w:tc>
          <w:tcPr>
            <w:tcW w:w="243" w:type="pct"/>
            <w:noWrap/>
            <w:vAlign w:val="center"/>
            <w:hideMark/>
          </w:tcPr>
          <w:p w14:paraId="7400C68A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5CCD98D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566C46FE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También incluye cambios interanuales y eventos climáticos extremos.</w:t>
            </w:r>
          </w:p>
        </w:tc>
        <w:tc>
          <w:tcPr>
            <w:tcW w:w="1556" w:type="pct"/>
            <w:noWrap/>
            <w:vAlign w:val="center"/>
            <w:hideMark/>
          </w:tcPr>
          <w:p w14:paraId="12EC598A" w14:textId="16338DCA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21471EB7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C50009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13</w:t>
            </w:r>
          </w:p>
        </w:tc>
        <w:tc>
          <w:tcPr>
            <w:tcW w:w="1110" w:type="pct"/>
            <w:noWrap/>
            <w:vAlign w:val="center"/>
            <w:hideMark/>
          </w:tcPr>
          <w:p w14:paraId="1432900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sensores de suelo solo miden la humedad.</w:t>
            </w:r>
          </w:p>
        </w:tc>
        <w:tc>
          <w:tcPr>
            <w:tcW w:w="243" w:type="pct"/>
            <w:noWrap/>
            <w:vAlign w:val="center"/>
            <w:hideMark/>
          </w:tcPr>
          <w:p w14:paraId="72CBE562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132BCB1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121A761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Miden múltiples parámetros como pH, nutrientes y conductividad.</w:t>
            </w:r>
          </w:p>
        </w:tc>
        <w:tc>
          <w:tcPr>
            <w:tcW w:w="1556" w:type="pct"/>
            <w:noWrap/>
            <w:vAlign w:val="center"/>
            <w:hideMark/>
          </w:tcPr>
          <w:p w14:paraId="1C311032" w14:textId="0C4C09AA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464D6BEA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4072101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14</w:t>
            </w:r>
          </w:p>
        </w:tc>
        <w:tc>
          <w:tcPr>
            <w:tcW w:w="1110" w:type="pct"/>
            <w:noWrap/>
            <w:vAlign w:val="center"/>
            <w:hideMark/>
          </w:tcPr>
          <w:p w14:paraId="72DF683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agricultura de precisión requiere uso simultáneo de todas las tecnologías disponibles.</w:t>
            </w:r>
          </w:p>
        </w:tc>
        <w:tc>
          <w:tcPr>
            <w:tcW w:w="243" w:type="pct"/>
            <w:noWrap/>
            <w:vAlign w:val="center"/>
            <w:hideMark/>
          </w:tcPr>
          <w:p w14:paraId="7FADF279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4F3C0CC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4DC2519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Se puede implementar gradualmente según necesidades y recursos.</w:t>
            </w:r>
          </w:p>
        </w:tc>
        <w:tc>
          <w:tcPr>
            <w:tcW w:w="1556" w:type="pct"/>
            <w:noWrap/>
            <w:vAlign w:val="center"/>
            <w:hideMark/>
          </w:tcPr>
          <w:p w14:paraId="32C18D10" w14:textId="2564692D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409DC72E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331C65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15</w:t>
            </w:r>
          </w:p>
        </w:tc>
        <w:tc>
          <w:tcPr>
            <w:tcW w:w="1110" w:type="pct"/>
            <w:noWrap/>
            <w:vAlign w:val="center"/>
            <w:hideMark/>
          </w:tcPr>
          <w:p w14:paraId="4792419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Las plataformas </w:t>
            </w:r>
            <w:proofErr w:type="spellStart"/>
            <w:r w:rsidRPr="009F274B">
              <w:t>SCADA</w:t>
            </w:r>
            <w:proofErr w:type="spellEnd"/>
            <w:r w:rsidRPr="009F274B">
              <w:t xml:space="preserve"> pueden integrarse con sensores </w:t>
            </w:r>
            <w:proofErr w:type="spellStart"/>
            <w:r w:rsidRPr="009F274B">
              <w:t>IoT</w:t>
            </w:r>
            <w:proofErr w:type="spellEnd"/>
            <w:r w:rsidRPr="009F274B">
              <w:t>.</w:t>
            </w:r>
          </w:p>
        </w:tc>
        <w:tc>
          <w:tcPr>
            <w:tcW w:w="243" w:type="pct"/>
            <w:noWrap/>
            <w:vAlign w:val="center"/>
            <w:hideMark/>
          </w:tcPr>
          <w:p w14:paraId="50EACC6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5AAFFB4F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2C48DD8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Esta integración permite un monitoreo y control más efectivo.</w:t>
            </w:r>
          </w:p>
        </w:tc>
        <w:tc>
          <w:tcPr>
            <w:tcW w:w="1556" w:type="pct"/>
            <w:noWrap/>
            <w:vAlign w:val="center"/>
            <w:hideMark/>
          </w:tcPr>
          <w:p w14:paraId="0266E64D" w14:textId="2AF8D052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FEFEDDF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7FEEF3D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lastRenderedPageBreak/>
              <w:t>16</w:t>
            </w:r>
          </w:p>
        </w:tc>
        <w:tc>
          <w:tcPr>
            <w:tcW w:w="1110" w:type="pct"/>
            <w:noWrap/>
            <w:vAlign w:val="center"/>
            <w:hideMark/>
          </w:tcPr>
          <w:p w14:paraId="0D0CB468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El monitoreo en tiempo real facilita la detección temprana de problemas.</w:t>
            </w:r>
          </w:p>
        </w:tc>
        <w:tc>
          <w:tcPr>
            <w:tcW w:w="243" w:type="pct"/>
            <w:noWrap/>
            <w:vAlign w:val="center"/>
            <w:hideMark/>
          </w:tcPr>
          <w:p w14:paraId="3B71A9A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128694DC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500974F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Permite intervenciones oportunas ante condiciones adversas.</w:t>
            </w:r>
          </w:p>
        </w:tc>
        <w:tc>
          <w:tcPr>
            <w:tcW w:w="1556" w:type="pct"/>
            <w:noWrap/>
            <w:vAlign w:val="center"/>
            <w:hideMark/>
          </w:tcPr>
          <w:p w14:paraId="15D82429" w14:textId="4DC5B4C3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348FCE8D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5285479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17</w:t>
            </w:r>
          </w:p>
        </w:tc>
        <w:tc>
          <w:tcPr>
            <w:tcW w:w="1110" w:type="pct"/>
            <w:noWrap/>
            <w:vAlign w:val="center"/>
            <w:hideMark/>
          </w:tcPr>
          <w:p w14:paraId="5E188C4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gestión de variabilidad requiere siempre tecnología satelital.</w:t>
            </w:r>
          </w:p>
        </w:tc>
        <w:tc>
          <w:tcPr>
            <w:tcW w:w="243" w:type="pct"/>
            <w:noWrap/>
            <w:vAlign w:val="center"/>
            <w:hideMark/>
          </w:tcPr>
          <w:p w14:paraId="6ECA5582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633F54A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0F9EC72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Pueden usarse diferentes herramientas según el contexto.</w:t>
            </w:r>
          </w:p>
        </w:tc>
        <w:tc>
          <w:tcPr>
            <w:tcW w:w="1556" w:type="pct"/>
            <w:noWrap/>
            <w:vAlign w:val="center"/>
            <w:hideMark/>
          </w:tcPr>
          <w:p w14:paraId="594B307B" w14:textId="0C282CA4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70AC41CA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BF3D85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18</w:t>
            </w:r>
          </w:p>
        </w:tc>
        <w:tc>
          <w:tcPr>
            <w:tcW w:w="1110" w:type="pct"/>
            <w:noWrap/>
            <w:vAlign w:val="center"/>
            <w:hideMark/>
          </w:tcPr>
          <w:p w14:paraId="24BEF7F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sistemas automatizados eliminan completamente la intervención humana.</w:t>
            </w:r>
          </w:p>
        </w:tc>
        <w:tc>
          <w:tcPr>
            <w:tcW w:w="243" w:type="pct"/>
            <w:noWrap/>
            <w:vAlign w:val="center"/>
            <w:hideMark/>
          </w:tcPr>
          <w:p w14:paraId="4D3AA1D5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5D5F349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2871078E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La supervisión y toma de decisiones humana sigue siendo esencial.</w:t>
            </w:r>
          </w:p>
        </w:tc>
        <w:tc>
          <w:tcPr>
            <w:tcW w:w="1556" w:type="pct"/>
            <w:noWrap/>
            <w:vAlign w:val="center"/>
            <w:hideMark/>
          </w:tcPr>
          <w:p w14:paraId="133B9ABF" w14:textId="0B1B5FE1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57B59798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1B64C94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19</w:t>
            </w:r>
          </w:p>
        </w:tc>
        <w:tc>
          <w:tcPr>
            <w:tcW w:w="1110" w:type="pct"/>
            <w:noWrap/>
            <w:vAlign w:val="center"/>
            <w:hideMark/>
          </w:tcPr>
          <w:p w14:paraId="0489D1F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El análisis de datos históricos ayuda a mejorar la toma de decisiones.</w:t>
            </w:r>
          </w:p>
        </w:tc>
        <w:tc>
          <w:tcPr>
            <w:tcW w:w="243" w:type="pct"/>
            <w:noWrap/>
            <w:vAlign w:val="center"/>
            <w:hideMark/>
          </w:tcPr>
          <w:p w14:paraId="3648437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0D515DE4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058B9AA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Permite identificar patrones y optimizar prácticas de manejo.</w:t>
            </w:r>
          </w:p>
        </w:tc>
        <w:tc>
          <w:tcPr>
            <w:tcW w:w="1556" w:type="pct"/>
            <w:noWrap/>
            <w:vAlign w:val="center"/>
            <w:hideMark/>
          </w:tcPr>
          <w:p w14:paraId="57B862DD" w14:textId="2C8E9000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38A7139F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6C857DD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20</w:t>
            </w:r>
          </w:p>
        </w:tc>
        <w:tc>
          <w:tcPr>
            <w:tcW w:w="1110" w:type="pct"/>
            <w:noWrap/>
            <w:vAlign w:val="center"/>
            <w:hideMark/>
          </w:tcPr>
          <w:p w14:paraId="583A1A0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sostenibilidad en sistemas productivos solo se refiere al aspecto ambiental.</w:t>
            </w:r>
          </w:p>
        </w:tc>
        <w:tc>
          <w:tcPr>
            <w:tcW w:w="243" w:type="pct"/>
            <w:noWrap/>
            <w:vAlign w:val="center"/>
            <w:hideMark/>
          </w:tcPr>
          <w:p w14:paraId="4804F52D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013EA48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5B39A49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Incluye también aspectos económicos y sociales.</w:t>
            </w:r>
          </w:p>
        </w:tc>
        <w:tc>
          <w:tcPr>
            <w:tcW w:w="1556" w:type="pct"/>
            <w:noWrap/>
            <w:vAlign w:val="center"/>
            <w:hideMark/>
          </w:tcPr>
          <w:p w14:paraId="4D6BB90D" w14:textId="00E5CA75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</w:tbl>
    <w:p w14:paraId="19F2532F" w14:textId="77777777" w:rsidR="009F274B" w:rsidRDefault="009F274B"/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0F0231" w14:paraId="3FC124E3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4C143EFC" w14:textId="77777777" w:rsidR="000F0231" w:rsidRDefault="000F0231" w:rsidP="000F0231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0F0231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0F0231" w:rsidRDefault="000F0231" w:rsidP="000F0231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0F0231" w14:paraId="41D61D8A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0F0231" w:rsidRDefault="000F0231" w:rsidP="000F0231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0F0231" w:rsidRPr="00996CB7" w:rsidRDefault="000F0231" w:rsidP="000F023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0F0231" w14:paraId="1EC7D336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0F0231" w:rsidRDefault="000F0231" w:rsidP="000F0231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0F0231" w:rsidRPr="00996CB7" w:rsidRDefault="000F0231" w:rsidP="000F023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E3688" w14:textId="77777777" w:rsidR="00FA5FC8" w:rsidRDefault="00FA5FC8">
      <w:pPr>
        <w:spacing w:line="240" w:lineRule="auto"/>
      </w:pPr>
      <w:r>
        <w:separator/>
      </w:r>
    </w:p>
  </w:endnote>
  <w:endnote w:type="continuationSeparator" w:id="0">
    <w:p w14:paraId="04D9ACC6" w14:textId="77777777" w:rsidR="00FA5FC8" w:rsidRDefault="00FA5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9679A" w14:textId="77777777" w:rsidR="00FA5FC8" w:rsidRDefault="00FA5FC8">
      <w:pPr>
        <w:spacing w:line="240" w:lineRule="auto"/>
      </w:pPr>
      <w:r>
        <w:separator/>
      </w:r>
    </w:p>
  </w:footnote>
  <w:footnote w:type="continuationSeparator" w:id="0">
    <w:p w14:paraId="67F8173F" w14:textId="77777777" w:rsidR="00FA5FC8" w:rsidRDefault="00FA5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1"/>
  </w:num>
  <w:num w:numId="2" w16cid:durableId="646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2369"/>
    <w:rsid w:val="000724AE"/>
    <w:rsid w:val="0009090B"/>
    <w:rsid w:val="000B7A91"/>
    <w:rsid w:val="000C68FF"/>
    <w:rsid w:val="000D6787"/>
    <w:rsid w:val="000E3ADC"/>
    <w:rsid w:val="000F0231"/>
    <w:rsid w:val="000F39CD"/>
    <w:rsid w:val="0012711D"/>
    <w:rsid w:val="0013556C"/>
    <w:rsid w:val="00152291"/>
    <w:rsid w:val="001754EA"/>
    <w:rsid w:val="0018141D"/>
    <w:rsid w:val="00186C81"/>
    <w:rsid w:val="001B5CD5"/>
    <w:rsid w:val="001C31F9"/>
    <w:rsid w:val="001D5ADA"/>
    <w:rsid w:val="001D65D0"/>
    <w:rsid w:val="00201DCC"/>
    <w:rsid w:val="00230CDA"/>
    <w:rsid w:val="00251FB3"/>
    <w:rsid w:val="002D62D4"/>
    <w:rsid w:val="00312C50"/>
    <w:rsid w:val="00343D07"/>
    <w:rsid w:val="00356FD1"/>
    <w:rsid w:val="00383143"/>
    <w:rsid w:val="00391997"/>
    <w:rsid w:val="003D69A8"/>
    <w:rsid w:val="003F5B59"/>
    <w:rsid w:val="00423AF4"/>
    <w:rsid w:val="004453AE"/>
    <w:rsid w:val="00463A0B"/>
    <w:rsid w:val="00474575"/>
    <w:rsid w:val="00477BE3"/>
    <w:rsid w:val="0048139D"/>
    <w:rsid w:val="004A00B2"/>
    <w:rsid w:val="004A2FCB"/>
    <w:rsid w:val="004E274A"/>
    <w:rsid w:val="005054B6"/>
    <w:rsid w:val="00572DAB"/>
    <w:rsid w:val="00593FCD"/>
    <w:rsid w:val="005D464C"/>
    <w:rsid w:val="005D6C01"/>
    <w:rsid w:val="00642944"/>
    <w:rsid w:val="006461F0"/>
    <w:rsid w:val="00654A50"/>
    <w:rsid w:val="00675935"/>
    <w:rsid w:val="0068051B"/>
    <w:rsid w:val="006B166A"/>
    <w:rsid w:val="006B317F"/>
    <w:rsid w:val="006C52FA"/>
    <w:rsid w:val="006D0352"/>
    <w:rsid w:val="006F219D"/>
    <w:rsid w:val="00725E57"/>
    <w:rsid w:val="00736566"/>
    <w:rsid w:val="00763ED4"/>
    <w:rsid w:val="00776278"/>
    <w:rsid w:val="007807FE"/>
    <w:rsid w:val="0078087A"/>
    <w:rsid w:val="007844D1"/>
    <w:rsid w:val="007878C4"/>
    <w:rsid w:val="007C624F"/>
    <w:rsid w:val="00805A67"/>
    <w:rsid w:val="00822675"/>
    <w:rsid w:val="00822B52"/>
    <w:rsid w:val="00836FBD"/>
    <w:rsid w:val="008424EE"/>
    <w:rsid w:val="00862211"/>
    <w:rsid w:val="008672FC"/>
    <w:rsid w:val="008925DE"/>
    <w:rsid w:val="008C22D2"/>
    <w:rsid w:val="00902CCE"/>
    <w:rsid w:val="00917B02"/>
    <w:rsid w:val="0097158D"/>
    <w:rsid w:val="00996CB7"/>
    <w:rsid w:val="009A36D1"/>
    <w:rsid w:val="009B224D"/>
    <w:rsid w:val="009C2A48"/>
    <w:rsid w:val="009D1BF1"/>
    <w:rsid w:val="009D37F0"/>
    <w:rsid w:val="009F274B"/>
    <w:rsid w:val="00A305A1"/>
    <w:rsid w:val="00A3225F"/>
    <w:rsid w:val="00A50801"/>
    <w:rsid w:val="00B02B81"/>
    <w:rsid w:val="00B23997"/>
    <w:rsid w:val="00B33D03"/>
    <w:rsid w:val="00B563E5"/>
    <w:rsid w:val="00B63D1C"/>
    <w:rsid w:val="00B82A18"/>
    <w:rsid w:val="00BA5C27"/>
    <w:rsid w:val="00BB38DE"/>
    <w:rsid w:val="00BB561B"/>
    <w:rsid w:val="00BD183E"/>
    <w:rsid w:val="00C0495F"/>
    <w:rsid w:val="00C23F46"/>
    <w:rsid w:val="00C41F72"/>
    <w:rsid w:val="00C47906"/>
    <w:rsid w:val="00C50902"/>
    <w:rsid w:val="00C57B0F"/>
    <w:rsid w:val="00C95FB8"/>
    <w:rsid w:val="00CA2567"/>
    <w:rsid w:val="00CC4530"/>
    <w:rsid w:val="00CD3981"/>
    <w:rsid w:val="00CF6CED"/>
    <w:rsid w:val="00D10167"/>
    <w:rsid w:val="00D154B7"/>
    <w:rsid w:val="00D16567"/>
    <w:rsid w:val="00D16CEB"/>
    <w:rsid w:val="00D65325"/>
    <w:rsid w:val="00D96770"/>
    <w:rsid w:val="00E039A9"/>
    <w:rsid w:val="00E104B9"/>
    <w:rsid w:val="00E10945"/>
    <w:rsid w:val="00E14EFC"/>
    <w:rsid w:val="00EA1809"/>
    <w:rsid w:val="00ED3B41"/>
    <w:rsid w:val="00ED5C0E"/>
    <w:rsid w:val="00EE0ED0"/>
    <w:rsid w:val="00F03327"/>
    <w:rsid w:val="00F22708"/>
    <w:rsid w:val="00F321DB"/>
    <w:rsid w:val="00F5052D"/>
    <w:rsid w:val="00F52AA1"/>
    <w:rsid w:val="00F732C7"/>
    <w:rsid w:val="00FA1C51"/>
    <w:rsid w:val="00FA5FC8"/>
    <w:rsid w:val="00F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F27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52</cp:revision>
  <dcterms:created xsi:type="dcterms:W3CDTF">2024-10-30T19:21:00Z</dcterms:created>
  <dcterms:modified xsi:type="dcterms:W3CDTF">2024-12-08T15:28:00Z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