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56"/>
        </w:rPr>
        <w:t>Comrade Strategy &amp; Business Model</w:t>
      </w:r>
    </w:p>
    <w:p>
      <w:pPr>
        <w:jc w:val="center"/>
      </w:pPr>
      <w:r>
        <w:rPr>
          <w:color w:val="5A6B7D"/>
          <w:sz w:val="28"/>
        </w:rPr>
        <w:t>Justified Through Good Strategy Bad Strategy &amp; Measure What Matters</w:t>
      </w:r>
    </w:p>
    <w:p/>
    <w:p>
      <w:pPr>
        <w:jc w:val="center"/>
      </w:pPr>
      <w:r>
        <w:rPr>
          <w:sz w:val="24"/>
        </w:rPr>
        <w:t>Platform: Qomrade (Comrade)</w:t>
        <w:br/>
      </w:r>
      <w:r>
        <w:rPr>
          <w:sz w:val="24"/>
        </w:rPr>
        <w:t>Date: June 2026</w:t>
        <w:br/>
      </w:r>
      <w:r>
        <w:rPr>
          <w:sz w:val="24"/>
        </w:rPr>
        <w:t>Status: Final v1.0</w:t>
      </w:r>
    </w:p>
    <w:p>
      <w:r>
        <w:br w:type="page"/>
      </w:r>
    </w:p>
    <w:p>
      <w:pPr>
        <w:pStyle w:val="Heading1"/>
      </w:pPr>
      <w:r>
        <w:t>Table of Contents</w:t>
      </w:r>
    </w:p>
    <w:p>
      <w:pPr>
        <w:pStyle w:val="ListNumber"/>
        <w:spacing w:after="40"/>
      </w:pPr>
      <w:r>
        <w:t>1. Executive Summary</w:t>
      </w:r>
    </w:p>
    <w:p>
      <w:pPr>
        <w:pStyle w:val="ListNumber"/>
        <w:spacing w:after="40"/>
      </w:pPr>
      <w:r>
        <w:t>2. Strategic Diagnosis — Rumelt's Kernel Applied</w:t>
      </w:r>
    </w:p>
    <w:p>
      <w:pPr>
        <w:pStyle w:val="ListBullet"/>
        <w:spacing w:after="40"/>
      </w:pPr>
      <w:r>
        <w:t xml:space="preserve">   2.1 The Crux: The Fragmentation Tax</w:t>
      </w:r>
    </w:p>
    <w:p>
      <w:pPr>
        <w:pStyle w:val="ListBullet"/>
        <w:spacing w:after="40"/>
      </w:pPr>
      <w:r>
        <w:t xml:space="preserve">   2.2 Diagnosis — Three Crises from the Landing Page</w:t>
      </w:r>
    </w:p>
    <w:p>
      <w:pPr>
        <w:pStyle w:val="ListBullet"/>
        <w:spacing w:after="40"/>
      </w:pPr>
      <w:r>
        <w:t xml:space="preserve">   2.3 Why Fragmented Alternatives Cannot Win</w:t>
      </w:r>
    </w:p>
    <w:p>
      <w:pPr>
        <w:pStyle w:val="ListNumber"/>
        <w:spacing w:after="40"/>
      </w:pPr>
      <w:r>
        <w:t>3. Guiding Policy — The Unified Ecosystem</w:t>
      </w:r>
    </w:p>
    <w:p>
      <w:pPr>
        <w:pStyle w:val="ListBullet"/>
        <w:spacing w:after="40"/>
      </w:pPr>
      <w:r>
        <w:t xml:space="preserve">   3.1 Group-First Architecture</w:t>
      </w:r>
    </w:p>
    <w:p>
      <w:pPr>
        <w:pStyle w:val="ListBullet"/>
        <w:spacing w:after="40"/>
      </w:pPr>
      <w:r>
        <w:t xml:space="preserve">   3.2 Payments as the Core Rail</w:t>
      </w:r>
    </w:p>
    <w:p>
      <w:pPr>
        <w:pStyle w:val="ListBullet"/>
        <w:spacing w:after="40"/>
      </w:pPr>
      <w:r>
        <w:t xml:space="preserve">   3.3 The Approach: Depth Over Breadth</w:t>
      </w:r>
    </w:p>
    <w:p>
      <w:pPr>
        <w:pStyle w:val="ListNumber"/>
        <w:spacing w:after="40"/>
      </w:pPr>
      <w:r>
        <w:t>4. The Chainlink Map — Service Interconnectedness</w:t>
      </w:r>
    </w:p>
    <w:p>
      <w:pPr>
        <w:pStyle w:val="ListBullet"/>
        <w:spacing w:after="40"/>
      </w:pPr>
      <w:r>
        <w:t xml:space="preserve">   4.1 Cross-Module Chainlink Inventory</w:t>
      </w:r>
    </w:p>
    <w:p>
      <w:pPr>
        <w:pStyle w:val="ListBullet"/>
        <w:spacing w:after="40"/>
      </w:pPr>
      <w:r>
        <w:t xml:space="preserve">   4.2 The Network Effects of Chainlinks</w:t>
      </w:r>
    </w:p>
    <w:p>
      <w:pPr>
        <w:pStyle w:val="ListBullet"/>
        <w:spacing w:after="40"/>
      </w:pPr>
      <w:r>
        <w:t xml:space="preserve">   4.3 Chainlink Maturity Assessment</w:t>
      </w:r>
    </w:p>
    <w:p>
      <w:pPr>
        <w:pStyle w:val="ListNumber"/>
        <w:spacing w:after="40"/>
      </w:pPr>
      <w:r>
        <w:t>5. Coherent Actions — From Strategy to Execution</w:t>
      </w:r>
    </w:p>
    <w:p>
      <w:pPr>
        <w:pStyle w:val="ListBullet"/>
        <w:spacing w:after="40"/>
      </w:pPr>
      <w:r>
        <w:t xml:space="preserve">   5.1 Complete the Core Financial Flows</w:t>
      </w:r>
    </w:p>
    <w:p>
      <w:pPr>
        <w:pStyle w:val="ListBullet"/>
        <w:spacing w:after="40"/>
      </w:pPr>
      <w:r>
        <w:t xml:space="preserve">   5.2 Integrate Verification with Payment Tiers</w:t>
      </w:r>
    </w:p>
    <w:p>
      <w:pPr>
        <w:pStyle w:val="ListBullet"/>
        <w:spacing w:after="40"/>
      </w:pPr>
      <w:r>
        <w:t xml:space="preserve">   5.3 Surface Hidden Services</w:t>
      </w:r>
    </w:p>
    <w:p>
      <w:pPr>
        <w:pStyle w:val="ListNumber"/>
        <w:spacing w:after="40"/>
      </w:pPr>
      <w:r>
        <w:t>6. OKRs — Measure What Matters (Doerr)</w:t>
      </w:r>
    </w:p>
    <w:p>
      <w:pPr>
        <w:pStyle w:val="ListBullet"/>
        <w:spacing w:after="40"/>
      </w:pPr>
      <w:r>
        <w:t xml:space="preserve">   6.1 Objective: End Fragmentation</w:t>
      </w:r>
    </w:p>
    <w:p>
      <w:pPr>
        <w:pStyle w:val="ListBullet"/>
        <w:spacing w:after="40"/>
      </w:pPr>
      <w:r>
        <w:t xml:space="preserve">   6.2 Objective: Improve Purchasing Power</w:t>
      </w:r>
    </w:p>
    <w:p>
      <w:pPr>
        <w:pStyle w:val="ListBullet"/>
        <w:spacing w:after="40"/>
      </w:pPr>
      <w:r>
        <w:t xml:space="preserve">   6.3 Objective: Fight Digital Piracy</w:t>
      </w:r>
    </w:p>
    <w:p>
      <w:pPr>
        <w:pStyle w:val="ListBullet"/>
        <w:spacing w:after="40"/>
      </w:pPr>
      <w:r>
        <w:t xml:space="preserve">   6.4 Objective: Platform Trust &amp; Reliability</w:t>
      </w:r>
    </w:p>
    <w:p>
      <w:pPr>
        <w:pStyle w:val="ListNumber"/>
        <w:spacing w:after="40"/>
      </w:pPr>
      <w:r>
        <w:t>7. Strategic Business Model</w:t>
      </w:r>
    </w:p>
    <w:p>
      <w:pPr>
        <w:pStyle w:val="ListBullet"/>
        <w:spacing w:after="40"/>
      </w:pPr>
      <w:r>
        <w:t xml:space="preserve">   7.1 Revenue Streams Aligned to Chainlinks</w:t>
      </w:r>
    </w:p>
    <w:p>
      <w:pPr>
        <w:pStyle w:val="ListBullet"/>
        <w:spacing w:after="40"/>
      </w:pPr>
      <w:r>
        <w:t xml:space="preserve">   7.2 Tier Structure &amp; Pricing</w:t>
      </w:r>
    </w:p>
    <w:p>
      <w:pPr>
        <w:pStyle w:val="ListBullet"/>
        <w:spacing w:after="40"/>
      </w:pPr>
      <w:r>
        <w:t xml:space="preserve">   7.3 Competitive Moat Analysis</w:t>
      </w:r>
    </w:p>
    <w:p>
      <w:pPr>
        <w:pStyle w:val="ListNumber"/>
        <w:spacing w:after="40"/>
      </w:pPr>
      <w:r>
        <w:t>8. Conclusion — The Compound Value Thesis</w:t>
      </w:r>
    </w:p>
    <w:p>
      <w:pPr>
        <w:spacing w:after="40"/>
      </w:pPr>
      <w:r>
        <w:t>References</w:t>
      </w:r>
    </w:p>
    <w:p>
      <w:r>
        <w:br w:type="page"/>
      </w:r>
    </w:p>
    <w:p>
      <w:pPr>
        <w:pStyle w:val="Heading1"/>
      </w:pPr>
      <w:r>
        <w:t>1. Executive Summary</w:t>
      </w:r>
    </w:p>
    <w:p>
      <w:r>
        <w:t>Qomrade is a unified digital ecosystem that combines financial services, marketplace commerce, social collaboration, learning, and career development into a single platform. Its core thesis — drawn directly from the landing page — is that the fragmentation of daily services across dozens of disconnected apps imposes a hidden "fragmentation tax" on users: lost time, reduced purchasing power, increased security exposure, and foregone synergies between adjacent activities.</w:t>
      </w:r>
    </w:p>
    <w:p>
      <w:r>
        <w:t>This document provides the strategic justification for Qomrade's architecture, service interconnectedness, and go-to-market approach using two proven frameworks:</w:t>
      </w:r>
    </w:p>
    <w:p>
      <w:pPr>
        <w:pStyle w:val="ListBullet"/>
      </w:pPr>
      <w:r>
        <w:t>• Richard Rumelt's "Good Strategy Bad Strategy" — The kernel of strategy (diagnosis → guiding policy → coherent actions) maps directly onto the platform's design. The landing page itself is structured around this kernel, naming the three crises (fragmentation, weak purchasing power, digital piracy) and articulating a clear guiding policy.</w:t>
      </w:r>
    </w:p>
    <w:p>
      <w:pPr>
        <w:pStyle w:val="ListBullet"/>
      </w:pPr>
      <w:r>
        <w:t>• John Doerr's "Measure What Matters" — Every strategic objective is paired with measurable key results tied to the landing page's promises. OKRs ensure the strategy is accountable, not aspirational.</w:t>
      </w:r>
    </w:p>
    <w:p>
      <w:r>
        <w:t>The central argument: Qomrade's competitive moat is not any single service but the chainlinks between them — the cross-module connections that create compound value that fragmented alternatives structurally cannot replicate. Each additional service increases the value of every other service, creating a self-reinforcing network effect.</w:t>
      </w:r>
    </w:p>
    <w:p>
      <w:r>
        <w:br w:type="page"/>
      </w:r>
    </w:p>
    <w:p>
      <w:pPr>
        <w:pStyle w:val="Heading1"/>
      </w:pPr>
      <w:r>
        <w:t>2. Strategic Diagnosis — Rumelt's Kernel Applied</w:t>
      </w:r>
    </w:p>
    <w:p>
      <w:r>
        <w:t>Rumelt teaches that good strategy begins with an honest diagnosis of the challenge — not a mission statement, not a vision, but a clear-eyed identification of the obstacle that, if overcome, unlocks disproportionate value. The Qomrade landing page embeds this diagnosis explicitly in its "Why Us" section, identifying three interconnected crises that together form "the crux."</w:t>
      </w:r>
    </w:p>
    <w:p>
      <w:pPr>
        <w:pStyle w:val="Heading2"/>
      </w:pPr>
      <w:r>
        <w:t>2.1 The Crux: The Fragmentation Tax</w:t>
      </w:r>
    </w:p>
    <w:p>
      <w:r>
        <w:t>The crux — Rumelt's term for the most critical challenge that is both addressable and consequential — is the fragmentation of digital life. An average user today maintains separate accounts across: 2-3 banks, PayPal/Venmo, a stock trading app, Amazon/eBay, Uber Eats/Doordash, WhatsApp/Telegram, LinkedIn, Coursera/Udemy, and Eventbrite. Each app has its own login, its own payment method, its own privacy policy, and its own customer support queue.</w:t>
      </w:r>
    </w:p>
    <w:p>
      <w:r>
        <w:t>The fragmentation tax manifests in three ways that reinforce each other:</w:t>
      </w:r>
    </w:p>
    <w:p>
      <w:pPr>
        <w:pStyle w:val="ListBullet"/>
      </w:pPr>
      <w:r>
        <w:t>1. Cognitive overhead: Managing N apps costs O(N) attention, with no shared context between them.</w:t>
      </w:r>
    </w:p>
    <w:p>
      <w:pPr>
        <w:pStyle w:val="ListBullet"/>
      </w:pPr>
      <w:r>
        <w:t>2. Lost synergy: Purchasing power accumulated in one app cannot be deployed in another. Group savings built in WhatsApp cannot automatically invest in a marketplace deal.</w:t>
      </w:r>
    </w:p>
    <w:p>
      <w:pPr>
        <w:pStyle w:val="ListBullet"/>
      </w:pPr>
      <w:r>
        <w:t>3. Security surface area: Each additional app increases the attack surface. With no unified verification, fraudsters exploit the seams between platforms.</w:t>
      </w:r>
    </w:p>
    <w:p>
      <w:r>
        <w:t>Qomrade's response: replace N apps with one ecosystem where services are natively connected — not through APIs or integrations (which can break) but through shared data models, a unified wallet, and a single trust layer. This is not a feature choice; it is a structural architectural decision.</w:t>
      </w:r>
    </w:p>
    <w:p>
      <w:pPr>
        <w:pStyle w:val="Heading2"/>
      </w:pPr>
      <w:r>
        <w:t>2.2 Diagnosis — Three Crises from the Landing Page</w:t>
      </w:r>
    </w:p>
    <w:p>
      <w:r>
        <w:t>The landing page identifies three specific crises. Each is a symptom of the underlying fragmentation crux:</w:t>
      </w:r>
    </w:p>
    <w:p>
      <w:pPr>
        <w:pStyle w:val="Heading3"/>
      </w:pPr>
      <w:r>
        <w:t>Crisis 1: Service Fragmentation</w:t>
      </w:r>
    </w:p>
    <w:p>
      <w:r>
        <w:t>"Individuals juggle dozens of disconnected apps: banking, shopping, community management, investments, bill payments — wasting time, increasing security exposure, and preventing natural synergies."</w:t>
      </w:r>
    </w:p>
    <w:p>
      <w:r>
        <w:t>This is the foundational crisis. The platform's architecture document confirms the diagnosis through its app map: 15+ Django apps representing individual service domains. The strategy is not to build more services but to weave them together through shared primitives (PaymentGroup, TransactionToken, EntityVerification) so that the whole exceeds the sum of its parts.</w:t>
      </w:r>
    </w:p>
    <w:p>
      <w:pPr>
        <w:pStyle w:val="Heading3"/>
      </w:pPr>
      <w:r>
        <w:t>Crisis 2: Weak Purchasing Power</w:t>
      </w:r>
    </w:p>
    <w:p>
      <w:r>
        <w:t>"Individuals acting alone have zero bargaining power. Small orders mean higher costs, no bulk discounts, and no infrastructure for communities to pool their purchasing strength together."</w:t>
      </w:r>
    </w:p>
    <w:p>
      <w:r>
        <w:t>This crisis directly motivates the group-first architecture. PaymentGroup is not simply a "group chat with money" — it is a purchasing cooperative primitive. When a group pools funds in a GroupTarget (piggy bank) and reaches its goal, the automation pipeline can deploy those funds collectively — buying in bulk, investing as a syndicate, or funding a shared expense — all from the same ecosystem.</w:t>
      </w:r>
    </w:p>
    <w:p>
      <w:pPr>
        <w:pStyle w:val="Heading3"/>
      </w:pPr>
      <w:r>
        <w:t>Crisis 3: Rampant Digital Piracy</w:t>
      </w:r>
    </w:p>
    <w:p>
      <w:r>
        <w:t>"Fragmented marketplaces with inconsistent enforcement create fertile ground for counterfeit goods and IP theft. Bad actors simply migrate across platforms with impunity."</w:t>
      </w:r>
    </w:p>
    <w:p>
      <w:r>
        <w:t>This crisis motivates the verification system. The platform's EntityVerificationRequest model — with liveness detection, document hashing (SHA-256), and multi-step review — creates a unified trust layer. A verified entity on Qomrade is verified across all services: marketplace, funding, events, and learning. There is no seam for bad actors to exploit.</w:t>
      </w:r>
    </w:p>
    <w:p>
      <w:pPr>
        <w:pStyle w:val="Heading2"/>
      </w:pPr>
      <w:r>
        <w:t>2.3 Why Fragmented Alternatives Cannot Win</w:t>
      </w:r>
    </w:p>
    <w:p>
      <w:r>
        <w:t>Rumelt emphasizes that good strategy must identify not just what to do but also what the competition cannot easily replicate. The fragmentation crisis is structural in the incumbent landscape:</w:t>
      </w:r>
    </w:p>
    <w:p>
      <w:pPr>
        <w:pStyle w:val="ListBullet"/>
      </w:pPr>
      <w:r>
        <w:t>• PayPal/Venmo own P2P payments but lack group coordination, marketplace, or learning.</w:t>
      </w:r>
    </w:p>
    <w:p>
      <w:pPr>
        <w:pStyle w:val="ListBullet"/>
      </w:pPr>
      <w:r>
        <w:t>• WhatsApp/Telegram own group communication but lack any financial infrastructure.</w:t>
      </w:r>
    </w:p>
    <w:p>
      <w:pPr>
        <w:pStyle w:val="ListBullet"/>
      </w:pPr>
      <w:r>
        <w:t>• Amazon/eBay own marketplace but lack group savings or community governance.</w:t>
      </w:r>
    </w:p>
    <w:p>
      <w:pPr>
        <w:pStyle w:val="ListBullet"/>
      </w:pPr>
      <w:r>
        <w:t>• LinkedIn/Coursera own career/learning but are disconnected from financial behavior.</w:t>
      </w:r>
    </w:p>
    <w:p>
      <w:r>
        <w:t>Each incumbent is a single-service specialist. Their strength in one domain is their weakness in another — they cannot offer cross-service compound value without rebuilding their entire architecture. Qomrade's greenfield design, with PaymentGroup as the central primitive and all services sharing a unified wallet and verification layer, is a structural advantage that incumbents cannot match through integration layers or API partnerships.</w:t>
      </w:r>
    </w:p>
    <w:p>
      <w:r>
        <w:br w:type="page"/>
      </w:r>
    </w:p>
    <w:p>
      <w:pPr>
        <w:pStyle w:val="Heading1"/>
      </w:pPr>
      <w:r>
        <w:t>3. Guiding Policy — The Unified Ecosystem</w:t>
      </w:r>
    </w:p>
    <w:p>
      <w:r>
        <w:t>The guiding policy, stated directly on the landing page:</w:t>
      </w:r>
    </w:p>
    <w:p>
      <w:r>
        <w:rPr>
          <w:i/>
          <w:sz w:val="24"/>
        </w:rPr>
        <w:t>"Build a single, natively integrated ecosystem where marketplace commerce, financial operations, and community collaboration reinforce each other — creating compound value that fragmented alternatives structurally cannot match."</w:t>
      </w:r>
    </w:p>
    <w:p/>
    <w:p>
      <w:r>
        <w:t>This is not a mission statement. It is a strategic commitment — the lens through which every feature, partnership, and policy decision is evaluated. It translates into three architectural principles:</w:t>
      </w:r>
    </w:p>
    <w:p>
      <w:pPr>
        <w:pStyle w:val="Heading2"/>
      </w:pPr>
      <w:r>
        <w:t>3.1 Group-First Architecture</w:t>
      </w:r>
    </w:p>
    <w:p>
      <w:r>
        <w:t>Unlike traditional fintech platforms that center on the individual wallet, Qomrade centers on the PaymentGroup. This is a deliberate strategic choice based on the diagnosis: weak purchasing power is a collective problem, so the solution must be collective.</w:t>
      </w:r>
    </w:p>
    <w:p>
      <w:r>
        <w:t>The PaymentGroup model is the most connected entity in the database. It links directly to:</w:t>
      </w:r>
    </w:p>
    <w:p>
      <w:pPr>
        <w:pStyle w:val="ListBullet"/>
      </w:pPr>
      <w:r>
        <w:t>• Room (discourse/chat) — communication channel auto-created with each group</w:t>
      </w:r>
    </w:p>
    <w:p>
      <w:pPr>
        <w:pStyle w:val="ListBullet"/>
      </w:pPr>
      <w:r>
        <w:t>• GroupTarget (piggy banks) — savings goals that can auto-deploy via automation</w:t>
      </w:r>
    </w:p>
    <w:p>
      <w:pPr>
        <w:pStyle w:val="ListBullet"/>
      </w:pPr>
      <w:r>
        <w:t>• GroupInvestment — pooled capital deployment into ventures and opportunities</w:t>
      </w:r>
    </w:p>
    <w:p>
      <w:pPr>
        <w:pStyle w:val="ListBullet"/>
      </w:pPr>
      <w:r>
        <w:t>• RoundContribution — rotating savings (chama) with position management</w:t>
      </w:r>
    </w:p>
    <w:p>
      <w:pPr>
        <w:pStyle w:val="ListBullet"/>
      </w:pPr>
      <w:r>
        <w:t>• GroupVote — democratic governance for financial decisions</w:t>
      </w:r>
    </w:p>
    <w:p>
      <w:pPr>
        <w:pStyle w:val="ListBullet"/>
      </w:pPr>
      <w:r>
        <w:t>• WithdrawalRequest — typed withdrawals with penalty calculations</w:t>
      </w:r>
    </w:p>
    <w:p>
      <w:pPr>
        <w:pStyle w:val="ListBullet"/>
      </w:pPr>
      <w:r>
        <w:t>• LoanApplication — group lending with credit scoring</w:t>
      </w:r>
    </w:p>
    <w:p>
      <w:pPr>
        <w:pStyle w:val="ListBullet"/>
      </w:pPr>
      <w:r>
        <w:t>• InsurancePolicy — group insurance across 8 categories</w:t>
      </w:r>
    </w:p>
    <w:p>
      <w:pPr>
        <w:pStyle w:val="ListBullet"/>
      </w:pPr>
      <w:r>
        <w:t>• Orders — collective marketplace purchases</w:t>
      </w:r>
    </w:p>
    <w:p>
      <w:pPr>
        <w:pStyle w:val="ListBullet"/>
      </w:pPr>
      <w:r>
        <w:t>• Donations — group charitable giving</w:t>
      </w:r>
    </w:p>
    <w:p>
      <w:r>
        <w:t>This architecture creates a flywheel: groups attract members, members transact, transactions generate data, data enables credit scoring, credit scoring unlocks loans, loans deepen group engagement, engagement attracts more members. Each turn of the flywheel strengthens every subsequent turn.</w:t>
      </w:r>
    </w:p>
    <w:p>
      <w:pPr>
        <w:pStyle w:val="Heading2"/>
      </w:pPr>
      <w:r>
        <w:t>3.2 Payments as the Core Rail</w:t>
      </w:r>
    </w:p>
    <w:p>
      <w:r>
        <w:t>Every service in the ecosystem connects through the TransactionToken model. Whether a user is buying a product in the marketplace, contributing to a group savings pool, paying a bill, investing in a venture, purchasing insurance, or settling an escrow — the money moves through the same TransactionToken pipeline with the same atomic guarantees, audit trail, and notification system.</w:t>
      </w:r>
    </w:p>
    <w:p>
      <w:r>
        <w:t>This is not a technical implementation detail. It is a strategic choice that creates:</w:t>
      </w:r>
    </w:p>
    <w:p>
      <w:pPr>
        <w:pStyle w:val="ListBullet"/>
      </w:pPr>
      <w:r>
        <w:t>• Unified auditability — one ledger for all financial activity</w:t>
      </w:r>
    </w:p>
    <w:p>
      <w:pPr>
        <w:pStyle w:val="ListBullet"/>
      </w:pPr>
      <w:r>
        <w:t>• Cross-service balance — funds in a piggy bank can auto-deploy to any service</w:t>
      </w:r>
    </w:p>
    <w:p>
      <w:pPr>
        <w:pStyle w:val="ListBullet"/>
      </w:pPr>
      <w:r>
        <w:t>• Data network effects — transaction history across services feeds a single CreditScore</w:t>
      </w:r>
    </w:p>
    <w:p>
      <w:pPr>
        <w:pStyle w:val="ListBullet"/>
      </w:pPr>
      <w:r>
        <w:t>• Reduced compliance burden — one KYC/AML pipeline for all services</w:t>
      </w:r>
    </w:p>
    <w:p>
      <w:pPr>
        <w:pStyle w:val="Heading2"/>
      </w:pPr>
      <w:r>
        <w:t>3.3 The Approach: Depth Over Breadth</w:t>
      </w:r>
    </w:p>
    <w:p>
      <w:r>
        <w:t>Rumelt warns that the most common error in strategy is "bad strategy" — which he defines as failing to choose, trying to do everything, and mistaking goals for strategy. The platform's architecture document codifies the policy explicitly:</w:t>
      </w:r>
    </w:p>
    <w:p>
      <w:r>
        <w:rPr>
          <w:i/>
        </w:rPr>
        <w:t>"Depth over breadth. Every financial flow must be end-to-end functional (model → API → frontend → external integration → reconciliation) before new modules are added. The payment group system is the platform's core differentiator and should be the benchmark for quality."</w:t>
      </w:r>
    </w:p>
    <w:p>
      <w:r>
        <w:t>The service maturity assessment in the architecture document (Section 8) operationalizes this policy. It categorizes every module as Production-ready, Functional (needs polish), Model-only, or Not started. This honest inventory — rather than claiming every feature is equally mature — is itself a strategic act. It allows leadership to allocate resources to the chainlinks that matter most, not the features that sound most impressive.</w:t>
      </w:r>
    </w:p>
    <w:p>
      <w:r>
        <w:br w:type="page"/>
      </w:r>
    </w:p>
    <w:p>
      <w:pPr>
        <w:pStyle w:val="Heading1"/>
      </w:pPr>
      <w:r>
        <w:t>4. The Chainlink Map — Service Interconnectedness</w:t>
      </w:r>
    </w:p>
    <w:p>
      <w:r>
        <w:t>A "chainlink" is a directed connection between two services where activity in one creates or enables value in the other. Chainlinks are the mechanism through which compound value is generated. A platform with N services has potentially N×(N-1) chainlinks. The strategic question is not how many exist but which ones are strongest, most valuable, and hardest for competitors to replicate.</w:t>
      </w:r>
    </w:p>
    <w:p>
      <w:pPr>
        <w:pStyle w:val="Heading2"/>
      </w:pPr>
      <w:r>
        <w:t>4.1 Cross-Module Chainlink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Chainlink</w:t>
            </w:r>
          </w:p>
        </w:tc>
        <w:tc>
          <w:tcPr>
            <w:tcW w:type="dxa" w:w="2160"/>
          </w:tcPr>
          <w:p>
            <w:r>
              <w:rPr>
                <w:b/>
              </w:rPr>
              <w:t>Mechanism</w:t>
            </w:r>
          </w:p>
        </w:tc>
        <w:tc>
          <w:tcPr>
            <w:tcW w:type="dxa" w:w="2160"/>
          </w:tcPr>
          <w:p>
            <w:r>
              <w:rPr>
                <w:b/>
              </w:rPr>
              <w:t>Business Value</w:t>
            </w:r>
          </w:p>
        </w:tc>
        <w:tc>
          <w:tcPr>
            <w:tcW w:type="dxa" w:w="2160"/>
          </w:tcPr>
          <w:p>
            <w:r>
              <w:rPr>
                <w:b/>
              </w:rPr>
              <w:t>Maturity</w:t>
            </w:r>
          </w:p>
        </w:tc>
      </w:tr>
      <w:tr>
        <w:tc>
          <w:tcPr>
            <w:tcW w:type="dxa" w:w="2160"/>
          </w:tcPr>
          <w:p>
            <w:r>
              <w:t>PaymentGroup → Room</w:t>
            </w:r>
          </w:p>
        </w:tc>
        <w:tc>
          <w:tcPr>
            <w:tcW w:type="dxa" w:w="2160"/>
          </w:tcPr>
          <w:p>
            <w:r>
              <w:t>FK linked_room auto-created</w:t>
            </w:r>
          </w:p>
        </w:tc>
        <w:tc>
          <w:tcPr>
            <w:tcW w:type="dxa" w:w="2160"/>
          </w:tcPr>
          <w:p>
            <w:r>
              <w:t>Seamless group communication; one less external app</w:t>
            </w:r>
          </w:p>
        </w:tc>
        <w:tc>
          <w:tcPr>
            <w:tcW w:type="dxa" w:w="2160"/>
          </w:tcPr>
          <w:p>
            <w:r>
              <w:t>Production</w:t>
            </w:r>
          </w:p>
        </w:tc>
      </w:tr>
      <w:tr>
        <w:tc>
          <w:tcPr>
            <w:tcW w:type="dxa" w:w="2160"/>
          </w:tcPr>
          <w:p>
            <w:r>
              <w:t>PaymentGroup → GroupTarget</w:t>
            </w:r>
          </w:p>
        </w:tc>
        <w:tc>
          <w:tcPr>
            <w:tcW w:type="dxa" w:w="2160"/>
          </w:tcPr>
          <w:p>
            <w:r>
              <w:t>Group-level piggy banks with automation</w:t>
            </w:r>
          </w:p>
        </w:tc>
        <w:tc>
          <w:tcPr>
            <w:tcW w:type="dxa" w:w="2160"/>
          </w:tcPr>
          <w:p>
            <w:r>
              <w:t>Collective savings with auto-deployment to any service</w:t>
            </w:r>
          </w:p>
        </w:tc>
        <w:tc>
          <w:tcPr>
            <w:tcW w:type="dxa" w:w="2160"/>
          </w:tcPr>
          <w:p>
            <w:r>
              <w:t>Production</w:t>
            </w:r>
          </w:p>
        </w:tc>
      </w:tr>
      <w:tr>
        <w:tc>
          <w:tcPr>
            <w:tcW w:type="dxa" w:w="2160"/>
          </w:tcPr>
          <w:p>
            <w:r>
              <w:t>GroupTarget → Automation → Product/Service/Investment/Course/Donation</w:t>
            </w:r>
          </w:p>
        </w:tc>
        <w:tc>
          <w:tcPr>
            <w:tcW w:type="dxa" w:w="2160"/>
          </w:tcPr>
          <w:p>
            <w:r>
              <w:t>Automation pipeline on maturity/withdrawal/goal_achieved</w:t>
            </w:r>
          </w:p>
        </w:tc>
        <w:tc>
          <w:tcPr>
            <w:tcW w:type="dxa" w:w="2160"/>
          </w:tcPr>
          <w:p>
            <w:r>
              <w:t>Funds flow automatically across services without user friction</w:t>
            </w:r>
          </w:p>
        </w:tc>
        <w:tc>
          <w:tcPr>
            <w:tcW w:type="dxa" w:w="2160"/>
          </w:tcPr>
          <w:p>
            <w:r>
              <w:t>Functional</w:t>
            </w:r>
          </w:p>
        </w:tc>
      </w:tr>
      <w:tr>
        <w:tc>
          <w:tcPr>
            <w:tcW w:type="dxa" w:w="2160"/>
          </w:tcPr>
          <w:p>
            <w:r>
              <w:t>PaymentGroup → RoundContribution</w:t>
            </w:r>
          </w:p>
        </w:tc>
        <w:tc>
          <w:tcPr>
            <w:tcW w:type="dxa" w:w="2160"/>
          </w:tcPr>
          <w:p>
            <w:r>
              <w:t>Rotating savings with position management</w:t>
            </w:r>
          </w:p>
        </w:tc>
        <w:tc>
          <w:tcPr>
            <w:tcW w:type="dxa" w:w="2160"/>
          </w:tcPr>
          <w:p>
            <w:r>
              <w:t>Chama digitization — largest informal financial market in East Africa</w:t>
            </w:r>
          </w:p>
        </w:tc>
        <w:tc>
          <w:tcPr>
            <w:tcW w:type="dxa" w:w="2160"/>
          </w:tcPr>
          <w:p>
            <w:r>
              <w:t>Production</w:t>
            </w:r>
          </w:p>
        </w:tc>
      </w:tr>
      <w:tr>
        <w:tc>
          <w:tcPr>
            <w:tcW w:type="dxa" w:w="2160"/>
          </w:tcPr>
          <w:p>
            <w:r>
              <w:t>PaymentGroup → GroupVote</w:t>
            </w:r>
          </w:p>
        </w:tc>
        <w:tc>
          <w:tcPr>
            <w:tcW w:type="dxa" w:w="2160"/>
          </w:tcPr>
          <w:p>
            <w:r>
              <w:t>Approval voting for financial decisions</w:t>
            </w:r>
          </w:p>
        </w:tc>
        <w:tc>
          <w:tcPr>
            <w:tcW w:type="dxa" w:w="2160"/>
          </w:tcPr>
          <w:p>
            <w:r>
              <w:t>Democratic governance builds trust and reduces fraud risk</w:t>
            </w:r>
          </w:p>
        </w:tc>
        <w:tc>
          <w:tcPr>
            <w:tcW w:type="dxa" w:w="2160"/>
          </w:tcPr>
          <w:p>
            <w:r>
              <w:t>Functional</w:t>
            </w:r>
          </w:p>
        </w:tc>
      </w:tr>
      <w:tr>
        <w:tc>
          <w:tcPr>
            <w:tcW w:type="dxa" w:w="2160"/>
          </w:tcPr>
          <w:p>
            <w:r>
              <w:t>PaymentGroup → LoanApplication</w:t>
            </w:r>
          </w:p>
        </w:tc>
        <w:tc>
          <w:tcPr>
            <w:tcW w:type="dxa" w:w="2160"/>
          </w:tcPr>
          <w:p>
            <w:r>
              <w:t>Group loans with CreditScore gating</w:t>
            </w:r>
          </w:p>
        </w:tc>
        <w:tc>
          <w:tcPr>
            <w:tcW w:type="dxa" w:w="2160"/>
          </w:tcPr>
          <w:p>
            <w:r>
              <w:t>Data-driven lending from payment history (Moniepoint model)</w:t>
            </w:r>
          </w:p>
        </w:tc>
        <w:tc>
          <w:tcPr>
            <w:tcW w:type="dxa" w:w="2160"/>
          </w:tcPr>
          <w:p>
            <w:r>
              <w:t>Functional</w:t>
            </w:r>
          </w:p>
        </w:tc>
      </w:tr>
      <w:tr>
        <w:tc>
          <w:tcPr>
            <w:tcW w:type="dxa" w:w="2160"/>
          </w:tcPr>
          <w:p>
            <w:r>
              <w:t>PaymentGroup → InsurancePolicy</w:t>
            </w:r>
          </w:p>
        </w:tc>
        <w:tc>
          <w:tcPr>
            <w:tcW w:type="dxa" w:w="2160"/>
          </w:tcPr>
          <w:p>
            <w:r>
              <w:t>Group insurance across 8 categories</w:t>
            </w:r>
          </w:p>
        </w:tc>
        <w:tc>
          <w:tcPr>
            <w:tcW w:type="dxa" w:w="2160"/>
          </w:tcPr>
          <w:p>
            <w:r>
              <w:t>Pooled risk with lower per-member premiums</w:t>
            </w:r>
          </w:p>
        </w:tc>
        <w:tc>
          <w:tcPr>
            <w:tcW w:type="dxa" w:w="2160"/>
          </w:tcPr>
          <w:p>
            <w:r>
              <w:t>Model-only</w:t>
            </w:r>
          </w:p>
        </w:tc>
      </w:tr>
      <w:tr>
        <w:tc>
          <w:tcPr>
            <w:tcW w:type="dxa" w:w="2160"/>
          </w:tcPr>
          <w:p>
            <w:r>
              <w:t>PaymentGroup → Orders</w:t>
            </w:r>
          </w:p>
        </w:tc>
        <w:tc>
          <w:tcPr>
            <w:tcW w:type="dxa" w:w="2160"/>
          </w:tcPr>
          <w:p>
            <w:r>
              <w:t>Collective marketplace purchases</w:t>
            </w:r>
          </w:p>
        </w:tc>
        <w:tc>
          <w:tcPr>
            <w:tcW w:type="dxa" w:w="2160"/>
          </w:tcPr>
          <w:p>
            <w:r>
              <w:t>Bulk buying power — directly addresses the purchasing power crisis</w:t>
            </w:r>
          </w:p>
        </w:tc>
        <w:tc>
          <w:tcPr>
            <w:tcW w:type="dxa" w:w="2160"/>
          </w:tcPr>
          <w:p>
            <w:r>
              <w:t>Partial</w:t>
            </w:r>
          </w:p>
        </w:tc>
      </w:tr>
      <w:tr>
        <w:tc>
          <w:tcPr>
            <w:tcW w:type="dxa" w:w="2160"/>
          </w:tcPr>
          <w:p>
            <w:r>
              <w:t>PaymentGroup → Donations</w:t>
            </w:r>
          </w:p>
        </w:tc>
        <w:tc>
          <w:tcPr>
            <w:tcW w:type="dxa" w:w="2160"/>
          </w:tcPr>
          <w:p>
            <w:r>
              <w:t>Group charitable giving with GenericForeignKey</w:t>
            </w:r>
          </w:p>
        </w:tc>
        <w:tc>
          <w:tcPr>
            <w:tcW w:type="dxa" w:w="2160"/>
          </w:tcPr>
          <w:p>
            <w:r>
              <w:t>Tax-advantaged collective philanthropy</w:t>
            </w:r>
          </w:p>
        </w:tc>
        <w:tc>
          <w:tcPr>
            <w:tcW w:type="dxa" w:w="2160"/>
          </w:tcPr>
          <w:p>
            <w:r>
              <w:t>Production</w:t>
            </w:r>
          </w:p>
        </w:tc>
      </w:tr>
      <w:tr>
        <w:tc>
          <w:tcPr>
            <w:tcW w:type="dxa" w:w="2160"/>
          </w:tcPr>
          <w:p>
            <w:r>
              <w:t>TransactionToken → All financial services</w:t>
            </w:r>
          </w:p>
        </w:tc>
        <w:tc>
          <w:tcPr>
            <w:tcW w:type="dxa" w:w="2160"/>
          </w:tcPr>
          <w:p>
            <w:r>
              <w:t>Unified transaction pipeline atomic</w:t>
            </w:r>
          </w:p>
        </w:tc>
        <w:tc>
          <w:tcPr>
            <w:tcW w:type="dxa" w:w="2160"/>
          </w:tcPr>
          <w:p>
            <w:r>
              <w:t>Single audit trail, cross-service balance, one KYC pipeline</w:t>
            </w:r>
          </w:p>
        </w:tc>
        <w:tc>
          <w:tcPr>
            <w:tcW w:type="dxa" w:w="2160"/>
          </w:tcPr>
          <w:p>
            <w:r>
              <w:t>Production</w:t>
            </w:r>
          </w:p>
        </w:tc>
      </w:tr>
      <w:tr>
        <w:tc>
          <w:tcPr>
            <w:tcW w:type="dxa" w:w="2160"/>
          </w:tcPr>
          <w:p>
            <w:r>
              <w:t>Verification → All entities</w:t>
            </w:r>
          </w:p>
        </w:tc>
        <w:tc>
          <w:tcPr>
            <w:tcW w:type="dxa" w:w="2160"/>
          </w:tcPr>
          <w:p>
            <w:r>
              <w:t>EntityVerificationRequest with generic FK</w:t>
            </w:r>
          </w:p>
        </w:tc>
        <w:tc>
          <w:tcPr>
            <w:tcW w:type="dxa" w:w="2160"/>
          </w:tcPr>
          <w:p>
            <w:r>
              <w:t>Unified trust layer: verified once, trusted everywhere</w:t>
            </w:r>
          </w:p>
        </w:tc>
        <w:tc>
          <w:tcPr>
            <w:tcW w:type="dxa" w:w="2160"/>
          </w:tcPr>
          <w:p>
            <w:r>
              <w:t>Production</w:t>
            </w:r>
          </w:p>
        </w:tc>
      </w:tr>
      <w:tr>
        <w:tc>
          <w:tcPr>
            <w:tcW w:type="dxa" w:w="2160"/>
          </w:tcPr>
          <w:p>
            <w:r>
              <w:t>CreditScore → LoanApplication</w:t>
            </w:r>
          </w:p>
        </w:tc>
        <w:tc>
          <w:tcPr>
            <w:tcW w:type="dxa" w:w="2160"/>
          </w:tcPr>
          <w:p>
            <w:r>
              <w:t>5 sub-scores → min_credit_score gate</w:t>
            </w:r>
          </w:p>
        </w:tc>
        <w:tc>
          <w:tcPr>
            <w:tcW w:type="dxa" w:w="2160"/>
          </w:tcPr>
          <w:p>
            <w:r>
              <w:t>Payment history across all services unlocks credit access</w:t>
            </w:r>
          </w:p>
        </w:tc>
        <w:tc>
          <w:tcPr>
            <w:tcW w:type="dxa" w:w="2160"/>
          </w:tcPr>
          <w:p>
            <w:r>
              <w:t>Not wired</w:t>
            </w:r>
          </w:p>
        </w:tc>
      </w:tr>
      <w:tr>
        <w:tc>
          <w:tcPr>
            <w:tcW w:type="dxa" w:w="2160"/>
          </w:tcPr>
          <w:p>
            <w:r>
              <w:t>EscrowTransaction → Order/Gig/Marketplace</w:t>
            </w:r>
          </w:p>
        </w:tc>
        <w:tc>
          <w:tcPr>
            <w:tcW w:type="dxa" w:w="2160"/>
          </w:tcPr>
          <w:p>
            <w:r>
              <w:t>Milestone-based escrow with dispute resolution</w:t>
            </w:r>
          </w:p>
        </w:tc>
        <w:tc>
          <w:tcPr>
            <w:tcW w:type="dxa" w:w="2160"/>
          </w:tcPr>
          <w:p>
            <w:r>
              <w:t>Trust backbone for marketplace and P2P transactions</w:t>
            </w:r>
          </w:p>
        </w:tc>
        <w:tc>
          <w:tcPr>
            <w:tcW w:type="dxa" w:w="2160"/>
          </w:tcPr>
          <w:p>
            <w:r>
              <w:t>Functional</w:t>
            </w:r>
          </w:p>
        </w:tc>
      </w:tr>
      <w:tr>
        <w:tc>
          <w:tcPr>
            <w:tcW w:type="dxa" w:w="2160"/>
          </w:tcPr>
          <w:p>
            <w:r>
              <w:t>Funding.Business → PaymentGroup</w:t>
            </w:r>
          </w:p>
        </w:tc>
        <w:tc>
          <w:tcPr>
            <w:tcW w:type="dxa" w:w="2160"/>
          </w:tcPr>
          <w:p>
            <w:r>
              <w:t>Business.payment_group FK</w:t>
            </w:r>
          </w:p>
        </w:tc>
        <w:tc>
          <w:tcPr>
            <w:tcW w:type="dxa" w:w="2160"/>
          </w:tcPr>
          <w:p>
            <w:r>
              <w:t>Businesses can pool operational funds via group mechanics</w:t>
            </w:r>
          </w:p>
        </w:tc>
        <w:tc>
          <w:tcPr>
            <w:tcW w:type="dxa" w:w="2160"/>
          </w:tcPr>
          <w:p>
            <w:r>
              <w:t>Production</w:t>
            </w:r>
          </w:p>
        </w:tc>
      </w:tr>
      <w:tr>
        <w:tc>
          <w:tcPr>
            <w:tcW w:type="dxa" w:w="2160"/>
          </w:tcPr>
          <w:p>
            <w:r>
              <w:t>Donation → GroupVote</w:t>
            </w:r>
          </w:p>
        </w:tc>
        <w:tc>
          <w:tcPr>
            <w:tcW w:type="dxa" w:w="2160"/>
          </w:tcPr>
          <w:p>
            <w:r>
              <w:t>Approval vote for lump-sum group donations</w:t>
            </w:r>
          </w:p>
        </w:tc>
        <w:tc>
          <w:tcPr>
            <w:tcW w:type="dxa" w:w="2160"/>
          </w:tcPr>
          <w:p>
            <w:r>
              <w:t>Democratic charitable spending prevents misuse</w:t>
            </w:r>
          </w:p>
        </w:tc>
        <w:tc>
          <w:tcPr>
            <w:tcW w:type="dxa" w:w="2160"/>
          </w:tcPr>
          <w:p>
            <w:r>
              <w:t>Production</w:t>
            </w:r>
          </w:p>
        </w:tc>
      </w:tr>
      <w:tr>
        <w:tc>
          <w:tcPr>
            <w:tcW w:type="dxa" w:w="2160"/>
          </w:tcPr>
          <w:p>
            <w:r>
              <w:t>ProviderRating → ProviderQuery</w:t>
            </w:r>
          </w:p>
        </w:tc>
        <w:tc>
          <w:tcPr>
            <w:tcW w:type="dxa" w:w="2160"/>
          </w:tcPr>
          <w:p>
            <w:r>
              <w:t>Rating after query resolution</w:t>
            </w:r>
          </w:p>
        </w:tc>
        <w:tc>
          <w:tcPr>
            <w:tcW w:type="dxa" w:w="2160"/>
          </w:tcPr>
          <w:p>
            <w:r>
              <w:t>Quality assurance for provider ecosystem</w:t>
            </w:r>
          </w:p>
        </w:tc>
        <w:tc>
          <w:tcPr>
            <w:tcW w:type="dxa" w:w="2160"/>
          </w:tcPr>
          <w:p>
            <w:r>
              <w:t>Production</w:t>
            </w:r>
          </w:p>
        </w:tc>
      </w:tr>
      <w:tr>
        <w:tc>
          <w:tcPr>
            <w:tcW w:type="dxa" w:w="2160"/>
          </w:tcPr>
          <w:p>
            <w:r>
              <w:t>Specialization → Careers/Gigs</w:t>
            </w:r>
          </w:p>
        </w:tc>
        <w:tc>
          <w:tcPr>
            <w:tcW w:type="dxa" w:w="2160"/>
          </w:tcPr>
          <w:p>
            <w:r>
              <w:t>Certificate → Career/Gig application</w:t>
            </w:r>
          </w:p>
        </w:tc>
        <w:tc>
          <w:tcPr>
            <w:tcW w:type="dxa" w:w="2160"/>
          </w:tcPr>
          <w:p>
            <w:r>
              <w:t>Learning completion directly feeds career marketplace</w:t>
            </w:r>
          </w:p>
        </w:tc>
        <w:tc>
          <w:tcPr>
            <w:tcW w:type="dxa" w:w="2160"/>
          </w:tcPr>
          <w:p>
            <w:r>
              <w:t>Weak</w:t>
            </w:r>
          </w:p>
        </w:tc>
      </w:tr>
    </w:tbl>
    <w:p/>
    <w:p>
      <w:r>
        <w:t>The chainlink inventory reveals a pattern: the strongest chainlinks (Production maturity) radiate from PaymentGroup. This is by design — the group-first architecture intentionally makes PaymentGroup the hub. The weakest chainlinks are those that would connect the learning, research, and career clusters to the financial core — precisely the areas where the next phase of strategic focus should lie.</w:t>
      </w:r>
    </w:p>
    <w:p>
      <w:pPr>
        <w:pStyle w:val="Heading2"/>
      </w:pPr>
      <w:r>
        <w:t>4.2 The Network Effects of Chainlinks</w:t>
      </w:r>
    </w:p>
    <w:p>
      <w:r>
        <w:t>Chainlinks create several orders of network effect that compound over time:</w:t>
      </w:r>
    </w:p>
    <w:p>
      <w:pPr>
        <w:pStyle w:val="ListBullet"/>
      </w:pPr>
      <w:r>
        <w:t>First-order (Direct): Each additional user increases the value of the network for existing users. More users in PaymentGroups means more potential round-robin partners, more group investment opportunities, and more marketplace liquidity.</w:t>
      </w:r>
    </w:p>
    <w:p>
      <w:pPr>
        <w:pStyle w:val="ListBullet"/>
      </w:pPr>
      <w:r>
        <w:t>Second-order (Cross-service): Each additional service increases the value of existing services. Adding Insurance makes PaymentGroups more valuable (groups can insure collectively). Adding Learning makes Careers more valuable (certificates feed job applications). The value of the ecosystem grows faster than linearly with each added service.</w:t>
      </w:r>
    </w:p>
    <w:p>
      <w:pPr>
        <w:pStyle w:val="ListBullet"/>
      </w:pPr>
      <w:r>
        <w:t>Third-order (Data): Cross-service transaction data feeds the CreditScore model, which enables better loan decisions, which drives more transactions, which generates more data. This data flywheel is the most defensible moat — competitors cannot replicate it without equivalent transaction volume.</w:t>
      </w:r>
    </w:p>
    <w:p>
      <w:pPr>
        <w:pStyle w:val="Heading2"/>
      </w:pPr>
      <w:r>
        <w:t>4.3 Chainlink Maturity Assessment</w:t>
      </w:r>
    </w:p>
    <w:p>
      <w:r>
        <w:t>Per Rumelt, coherent action requires allocating resources where they create the most strategic impact. The chainlink maturity assessment (from the architecture document's Section 8) identifies:</w:t>
      </w:r>
    </w:p>
    <w:p>
      <w:pPr>
        <w:pStyle w:val="ListBullet"/>
      </w:pPr>
      <w:r>
        <w:t>• Production-ready chainlinks (8): These are the current competitive advantage. Maintain and monitor.</w:t>
      </w:r>
    </w:p>
    <w:p>
      <w:pPr>
        <w:pStyle w:val="ListBullet"/>
      </w:pPr>
      <w:r>
        <w:t>• Functional chainlinks needing polish (5): Close the remaining gaps — complete dispute flows, automate penalties.</w:t>
      </w:r>
    </w:p>
    <w:p>
      <w:pPr>
        <w:pStyle w:val="ListBullet"/>
      </w:pPr>
      <w:r>
        <w:t>• Model-only chainlinks (1): Insurance claims processing needs end-to-end implementation.</w:t>
      </w:r>
    </w:p>
    <w:p>
      <w:pPr>
        <w:pStyle w:val="ListBullet"/>
      </w:pPr>
      <w:r>
        <w:t>• Not-wired chainlinks (1): CreditScore → LoanApplication is the single highest-impact gap.</w:t>
      </w:r>
    </w:p>
    <w:p>
      <w:r>
        <w:br w:type="page"/>
      </w:r>
    </w:p>
    <w:p>
      <w:pPr>
        <w:pStyle w:val="Heading1"/>
      </w:pPr>
      <w:r>
        <w:t>5. Coherent Actions — From Strategy to Execution</w:t>
      </w:r>
    </w:p>
    <w:p>
      <w:r>
        <w:t>Rumelt's third element of the strategic kernel is coherent action — the set of coordinated initiatives that implement the guiding policy. These are not goals but concrete resource allocations and execution priorities.</w:t>
      </w:r>
    </w:p>
    <w:p>
      <w:pPr>
        <w:pStyle w:val="Heading2"/>
      </w:pPr>
      <w:r>
        <w:t>5.1 Complete the Core Financial Flows</w:t>
      </w:r>
    </w:p>
    <w:p>
      <w:r>
        <w:t>The highest-impact coherent action is wiring the CreditScore model into LoanApplication approval. Currently, CreditScore computes five sub-scores (savings, repayment, group, transaction, tenure) but LoanProduct.min_credit_score is not enforced. This means the platform's most sophisticated data asset — the credit scoring engine — is decorative rather than operational.</w:t>
      </w:r>
    </w:p>
    <w:p>
      <w:pPr>
        <w:pStyle w:val="ListBullet"/>
      </w:pPr>
      <w:r>
        <w:t>• Action: Add credit score check to LoanApplication.approve()</w:t>
      </w:r>
    </w:p>
    <w:p>
      <w:pPr>
        <w:pStyle w:val="ListBullet"/>
      </w:pPr>
      <w:r>
        <w:t>• Action: Complete the loan disbursement pipeline (TransactionToken integration)</w:t>
      </w:r>
    </w:p>
    <w:p>
      <w:pPr>
        <w:pStyle w:val="ListBullet"/>
      </w:pPr>
      <w:r>
        <w:t>• Action: Implement insurance claims processing (evidence → review → payout)</w:t>
      </w:r>
    </w:p>
    <w:p>
      <w:pPr>
        <w:pStyle w:val="ListBullet"/>
      </w:pPr>
      <w:r>
        <w:t>• Timeline: Q3 2026</w:t>
      </w:r>
    </w:p>
    <w:p>
      <w:pPr>
        <w:pStyle w:val="Heading2"/>
      </w:pPr>
      <w:r>
        <w:t>5.2 Integrate Verification with Payment Tiers</w:t>
      </w:r>
    </w:p>
    <w:p>
      <w:r>
        <w:t>The verification system (EntityVerificationRequest with liveness detection, document hashing, and multi-step review) is production-ready but isolated from payment tier access. A verified entity should unlock higher transaction limits, lower fees, and access to premium financial products. This chainlink — Verification → Payment tier — is the trust-to-value pipeline.</w:t>
      </w:r>
    </w:p>
    <w:p>
      <w:pPr>
        <w:pStyle w:val="ListBullet"/>
      </w:pPr>
      <w:r>
        <w:t>• Action: Link verification_status to PaymentProfile.tier computation</w:t>
      </w:r>
    </w:p>
    <w:p>
      <w:pPr>
        <w:pStyle w:val="ListBullet"/>
      </w:pPr>
      <w:r>
        <w:t>• Action: Offer tier upgrades contingent on verification level</w:t>
      </w:r>
    </w:p>
    <w:p>
      <w:pPr>
        <w:pStyle w:val="ListBullet"/>
      </w:pPr>
      <w:r>
        <w:t>• Timeline: Q3-Q4 2026</w:t>
      </w:r>
    </w:p>
    <w:p>
      <w:pPr>
        <w:pStyle w:val="Heading2"/>
      </w:pPr>
      <w:r>
        <w:t>5.3 Surface Hidden Services</w:t>
      </w:r>
    </w:p>
    <w:p>
      <w:r>
        <w:t>Several production-ready services (Articles, Research, Institutions, Organizations, Announcements) are functionally complete but hidden from the main navigation. This is a strategic error — these services represent potential chainlinks that are not being activated.</w:t>
      </w:r>
    </w:p>
    <w:p>
      <w:pPr>
        <w:pStyle w:val="ListBullet"/>
      </w:pPr>
      <w:r>
        <w:t>• Action: Add hidden services to appropriate navigation areas</w:t>
      </w:r>
    </w:p>
    <w:p>
      <w:pPr>
        <w:pStyle w:val="ListBullet"/>
      </w:pPr>
      <w:r>
        <w:t>• Action: Strengthen Specialization → Careers chainlink (certificate → job application)</w:t>
      </w:r>
    </w:p>
    <w:p>
      <w:pPr>
        <w:pStyle w:val="ListBullet"/>
      </w:pPr>
      <w:r>
        <w:t>• Action: Connect Research → Funding chainlink (research projects → venture investment)</w:t>
      </w:r>
    </w:p>
    <w:p>
      <w:pPr>
        <w:pStyle w:val="ListBullet"/>
      </w:pPr>
      <w:r>
        <w:t>• Timeline: Q4 2026</w:t>
      </w:r>
    </w:p>
    <w:p>
      <w:pPr>
        <w:pStyle w:val="Heading2"/>
      </w:pPr>
      <w:r>
        <w:t>5.4 Deploy ML Pricing Only When Data-Ready</w:t>
      </w:r>
    </w:p>
    <w:p>
      <w:r>
        <w:t>The ML/ directory has data collection infrastructure (PricingEvent, UserPricingFeature) but no deployed models. Per the architecture document: "Defer ML pricing deployment until transaction volume provides sufficient training data (minimum 10,000 pricing events)." This is a model of strategic discipline — not building a capability before there is data to support it.</w:t>
      </w:r>
    </w:p>
    <w:p>
      <w:pPr>
        <w:pStyle w:val="ListBullet"/>
      </w:pPr>
      <w:r>
        <w:t>• Action: Continue data collection; revisit when threshold is met</w:t>
      </w:r>
    </w:p>
    <w:p>
      <w:pPr>
        <w:pStyle w:val="ListBullet"/>
      </w:pPr>
      <w:r>
        <w:t>• Timeline: Contingent on volume</w:t>
      </w:r>
    </w:p>
    <w:p>
      <w:r>
        <w:br w:type="page"/>
      </w:r>
    </w:p>
    <w:p>
      <w:pPr>
        <w:pStyle w:val="Heading1"/>
      </w:pPr>
      <w:r>
        <w:t>6. OKRs — Measure What Matters (Doerr)</w:t>
      </w:r>
    </w:p>
    <w:p>
      <w:r>
        <w:t>John Doerr's OKR framework transforms strategy from aspiration into accountability. Each objective below ties directly to a promise made on the landing page and is measured via key results that track chainlink activation — not just service usage.</w:t>
      </w:r>
    </w:p>
    <w:p>
      <w:pPr>
        <w:pStyle w:val="Heading2"/>
      </w:pPr>
      <w:r>
        <w:t>6.1 Objective: End Fragmentation</w:t>
      </w:r>
    </w:p>
    <w:p>
      <w:r>
        <w:t>Promise from landing page: "Replace your fragmented banking, shopping, and community apps with one unified ecosystem."</w:t>
      </w:r>
    </w:p>
    <w:p/>
    <w:p>
      <w:r>
        <w:t>Key Results:</w:t>
      </w:r>
    </w:p>
    <w:p>
      <w:pPr>
        <w:pStyle w:val="ListBullet"/>
      </w:pPr>
      <w:r>
        <w:t>KR 1: Cross-service adoption rate — % of users who use 3+ distinct services within 30 days of registration. Target: 40%</w:t>
      </w:r>
    </w:p>
    <w:p>
      <w:pPr>
        <w:pStyle w:val="ListBullet"/>
      </w:pPr>
      <w:r>
        <w:t>KR 2: Chainlink activation rate — % of active users who traverse at least one chainlink (e.g., join a PaymentGroup AND interact in its linked Room) per week. Target: 60%</w:t>
      </w:r>
    </w:p>
    <w:p>
      <w:pPr>
        <w:pStyle w:val="ListBullet"/>
      </w:pPr>
      <w:r>
        <w:t>KR 3: Average number of services per active user. Target: 4.5 (from current ~2.1)</w:t>
      </w:r>
    </w:p>
    <w:p>
      <w:pPr>
        <w:pStyle w:val="ListBullet"/>
      </w:pPr>
      <w:r>
        <w:t>KR 4: User retention at 90 days for cross-service users vs single-service users. Target: 2x retention</w:t>
      </w:r>
    </w:p>
    <w:p>
      <w:pPr>
        <w:pStyle w:val="Heading2"/>
      </w:pPr>
      <w:r>
        <w:t>6.2 Objective: Improve Purchasing Power</w:t>
      </w:r>
    </w:p>
    <w:p>
      <w:r>
        <w:t>Promise from landing page: "Radically improving your purchasing power through collaborative savings and investments."</w:t>
      </w:r>
    </w:p>
    <w:p/>
    <w:p>
      <w:r>
        <w:t>Key Results:</w:t>
      </w:r>
    </w:p>
    <w:p>
      <w:pPr>
        <w:pStyle w:val="ListBullet"/>
      </w:pPr>
      <w:r>
        <w:t>KR 1: Total group savings deployed via automation pipeline. Target: $500K deployed in first year</w:t>
      </w:r>
    </w:p>
    <w:p>
      <w:pPr>
        <w:pStyle w:val="ListBullet"/>
      </w:pPr>
      <w:r>
        <w:t>KR 2: Average group investment ROI vs individual market returns. Target: 15% premium over individual</w:t>
      </w:r>
    </w:p>
    <w:p>
      <w:pPr>
        <w:pStyle w:val="ListBullet"/>
      </w:pPr>
      <w:r>
        <w:t>KR 3: Round-robin (chama) completion rate — completed cycles / total cycles started. Target: 85%</w:t>
      </w:r>
    </w:p>
    <w:p>
      <w:pPr>
        <w:pStyle w:val="ListBullet"/>
      </w:pPr>
      <w:r>
        <w:t>KR 4: Group purchasing discount achieved through bulk orders. Target: Average 12% discount vs retail</w:t>
      </w:r>
    </w:p>
    <w:p>
      <w:pPr>
        <w:pStyle w:val="Heading2"/>
      </w:pPr>
      <w:r>
        <w:t>6.3 Objective: Fight Digital Piracy</w:t>
      </w:r>
    </w:p>
    <w:p>
      <w:r>
        <w:t>Promise from landing page: "Join the fight against digital piracy while radically improving your purchasing power."</w:t>
      </w:r>
    </w:p>
    <w:p/>
    <w:p>
      <w:r>
        <w:t>Key Results:</w:t>
      </w:r>
    </w:p>
    <w:p>
      <w:pPr>
        <w:pStyle w:val="ListBullet"/>
      </w:pPr>
      <w:r>
        <w:t>KR 1: Entity verification rate — verified entities / total entities on marketplace. Target: 90%</w:t>
      </w:r>
    </w:p>
    <w:p>
      <w:pPr>
        <w:pStyle w:val="ListBullet"/>
      </w:pPr>
      <w:r>
        <w:t>KR 2: Dispute resolution rate — resolved within 7 days / total disputes filed. Target: 95%</w:t>
      </w:r>
    </w:p>
    <w:p>
      <w:pPr>
        <w:pStyle w:val="ListBullet"/>
      </w:pPr>
      <w:r>
        <w:t>KR 3: Fraud incidence rate — fraudulent transactions / total transactions. Target: &lt;0.5%</w:t>
      </w:r>
    </w:p>
    <w:p>
      <w:pPr>
        <w:pStyle w:val="ListBullet"/>
      </w:pPr>
      <w:r>
        <w:t>KR 4: Liveness verification pass rate — legitimate users passing liveness on first attempt. Target: 85%</w:t>
      </w:r>
    </w:p>
    <w:p>
      <w:pPr>
        <w:pStyle w:val="Heading2"/>
      </w:pPr>
      <w:r>
        <w:t>6.4 Objective: Platform Trust &amp; Reliability</w:t>
      </w:r>
    </w:p>
    <w:p>
      <w:r>
        <w:t>Promise from landing page: "Every transaction and message is fiercely protected by industry-leading encryption."</w:t>
      </w:r>
    </w:p>
    <w:p/>
    <w:p>
      <w:r>
        <w:t>Key Results:</w:t>
      </w:r>
    </w:p>
    <w:p>
      <w:pPr>
        <w:pStyle w:val="ListBullet"/>
      </w:pPr>
      <w:r>
        <w:t>KR 1: Transaction success rate — completed / (completed + failed). Target: 99.5%</w:t>
      </w:r>
    </w:p>
    <w:p>
      <w:pPr>
        <w:pStyle w:val="ListBullet"/>
      </w:pPr>
      <w:r>
        <w:t>KR 2: Average withdrawal processing time. Target: &lt; 2 hours</w:t>
      </w:r>
    </w:p>
    <w:p>
      <w:pPr>
        <w:pStyle w:val="ListBullet"/>
      </w:pPr>
      <w:r>
        <w:t>KR 3: Platform uptime (excluding scheduled maintenance). Target: 99.9%</w:t>
      </w:r>
    </w:p>
    <w:p>
      <w:pPr>
        <w:pStyle w:val="ListBullet"/>
      </w:pPr>
      <w:r>
        <w:t>KR 4: Security incident response time — from detection to mitigation. Target: &lt; 1 hour</w:t>
      </w:r>
    </w:p>
    <w:p/>
    <w:p>
      <w:r>
        <w:t>Per Doerr's transparency principle, all OKRs should be publicly visible within the team, scored quarterly on a 0.0–1.0 scale (0.7 = good achievement), and separated from compensation — OKRs measure progress, not performance.</w:t>
      </w:r>
    </w:p>
    <w:p>
      <w:r>
        <w:br w:type="page"/>
      </w:r>
    </w:p>
    <w:p>
      <w:pPr>
        <w:pStyle w:val="Heading1"/>
      </w:pPr>
      <w:r>
        <w:t>7. Strategic Business Model</w:t>
      </w:r>
    </w:p>
    <w:p>
      <w:r>
        <w:t>The business model is derived from the same strategic logic as the architecture: revenue flows through the chainlinks, not through individual services. This is how Qomrade avoids the trap of becoming a low-margin commodity in any single service category.</w:t>
      </w:r>
    </w:p>
    <w:p>
      <w:pPr>
        <w:pStyle w:val="Heading2"/>
      </w:pPr>
      <w:r>
        <w:t>7.1 Revenue Streams Aligned to Chainlinks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Revenue Stream</w:t>
            </w:r>
          </w:p>
        </w:tc>
        <w:tc>
          <w:tcPr>
            <w:tcW w:type="dxa" w:w="2160"/>
          </w:tcPr>
          <w:p>
            <w:r>
              <w:rPr>
                <w:b/>
              </w:rPr>
              <w:t>Chainlink Source</w:t>
            </w:r>
          </w:p>
        </w:tc>
        <w:tc>
          <w:tcPr>
            <w:tcW w:type="dxa" w:w="2160"/>
          </w:tcPr>
          <w:p>
            <w:r>
              <w:rPr>
                <w:b/>
              </w:rPr>
              <w:t>Mechanism</w:t>
            </w:r>
          </w:p>
        </w:tc>
        <w:tc>
          <w:tcPr>
            <w:tcW w:type="dxa" w:w="2160"/>
          </w:tcPr>
          <w:p>
            <w:r>
              <w:rPr>
                <w:b/>
              </w:rPr>
              <w:t>Margin</w:t>
            </w:r>
          </w:p>
        </w:tc>
      </w:tr>
      <w:tr>
        <w:tc>
          <w:tcPr>
            <w:tcW w:type="dxa" w:w="2160"/>
          </w:tcPr>
          <w:p>
            <w:r>
              <w:t>Transaction fees</w:t>
            </w:r>
          </w:p>
        </w:tc>
        <w:tc>
          <w:tcPr>
            <w:tcW w:type="dxa" w:w="2160"/>
          </w:tcPr>
          <w:p>
            <w:r>
              <w:t>TransactionToken → All services</w:t>
            </w:r>
          </w:p>
        </w:tc>
        <w:tc>
          <w:tcPr>
            <w:tcW w:type="dxa" w:w="2160"/>
          </w:tcPr>
          <w:p>
            <w:r>
              <w:t>% fee on every financial movement</w:t>
            </w:r>
          </w:p>
        </w:tc>
        <w:tc>
          <w:tcPr>
            <w:tcW w:type="dxa" w:w="2160"/>
          </w:tcPr>
          <w:p>
            <w:r>
              <w:t>Low (volume-driven)</w:t>
            </w:r>
          </w:p>
        </w:tc>
      </w:tr>
      <w:tr>
        <w:tc>
          <w:tcPr>
            <w:tcW w:type="dxa" w:w="2160"/>
          </w:tcPr>
          <w:p>
            <w:r>
              <w:t>Escrow fees</w:t>
            </w:r>
          </w:p>
        </w:tc>
        <w:tc>
          <w:tcPr>
            <w:tcW w:type="dxa" w:w="2160"/>
          </w:tcPr>
          <w:p>
            <w:r>
              <w:t>EscrowTransaction → Order/Gig/Marketplace</w:t>
            </w:r>
          </w:p>
        </w:tc>
        <w:tc>
          <w:tcPr>
            <w:tcW w:type="dxa" w:w="2160"/>
          </w:tcPr>
          <w:p>
            <w:r>
              <w:t>2% fee per escrow transaction</w:t>
            </w:r>
          </w:p>
        </w:tc>
        <w:tc>
          <w:tcPr>
            <w:tcW w:type="dxa" w:w="2160"/>
          </w:tcPr>
          <w:p>
            <w:r>
              <w:t>Medium</w:t>
            </w:r>
          </w:p>
        </w:tc>
      </w:tr>
      <w:tr>
        <w:tc>
          <w:tcPr>
            <w:tcW w:type="dxa" w:w="2160"/>
          </w:tcPr>
          <w:p>
            <w:r>
              <w:t>Loan processing fees</w:t>
            </w:r>
          </w:p>
        </w:tc>
        <w:tc>
          <w:tcPr>
            <w:tcW w:type="dxa" w:w="2160"/>
          </w:tcPr>
          <w:p>
            <w:r>
              <w:t>CreditScore → LoanApplication</w:t>
            </w:r>
          </w:p>
        </w:tc>
        <w:tc>
          <w:tcPr>
            <w:tcW w:type="dxa" w:w="2160"/>
          </w:tcPr>
          <w:p>
            <w:r>
              <w:t>% of loan amount disbursed</w:t>
            </w:r>
          </w:p>
        </w:tc>
        <w:tc>
          <w:tcPr>
            <w:tcW w:type="dxa" w:w="2160"/>
          </w:tcPr>
          <w:p>
            <w:r>
              <w:t>High</w:t>
            </w:r>
          </w:p>
        </w:tc>
      </w:tr>
      <w:tr>
        <w:tc>
          <w:tcPr>
            <w:tcW w:type="dxa" w:w="2160"/>
          </w:tcPr>
          <w:p>
            <w:r>
              <w:t>Insurance commissions</w:t>
            </w:r>
          </w:p>
        </w:tc>
        <w:tc>
          <w:tcPr>
            <w:tcW w:type="dxa" w:w="2160"/>
          </w:tcPr>
          <w:p>
            <w:r>
              <w:t>InsurancePolicy → PaymentGroup</w:t>
            </w:r>
          </w:p>
        </w:tc>
        <w:tc>
          <w:tcPr>
            <w:tcW w:type="dxa" w:w="2160"/>
          </w:tcPr>
          <w:p>
            <w:r>
              <w:t>Distribution fee on policies</w:t>
            </w:r>
          </w:p>
        </w:tc>
        <w:tc>
          <w:tcPr>
            <w:tcW w:type="dxa" w:w="2160"/>
          </w:tcPr>
          <w:p>
            <w:r>
              <w:t>Medium</w:t>
            </w:r>
          </w:p>
        </w:tc>
      </w:tr>
      <w:tr>
        <w:tc>
          <w:tcPr>
            <w:tcW w:type="dxa" w:w="2160"/>
          </w:tcPr>
          <w:p>
            <w:r>
              <w:t>Marketplace commissions</w:t>
            </w:r>
          </w:p>
        </w:tc>
        <w:tc>
          <w:tcPr>
            <w:tcW w:type="dxa" w:w="2160"/>
          </w:tcPr>
          <w:p>
            <w:r>
              <w:t>Orders → Establishment/Product</w:t>
            </w:r>
          </w:p>
        </w:tc>
        <w:tc>
          <w:tcPr>
            <w:tcW w:type="dxa" w:w="2160"/>
          </w:tcPr>
          <w:p>
            <w:r>
              <w:t>5-15% per marketplace transaction</w:t>
            </w:r>
          </w:p>
        </w:tc>
        <w:tc>
          <w:tcPr>
            <w:tcW w:type="dxa" w:w="2160"/>
          </w:tcPr>
          <w:p>
            <w:r>
              <w:t>Medium</w:t>
            </w:r>
          </w:p>
        </w:tc>
      </w:tr>
      <w:tr>
        <w:tc>
          <w:tcPr>
            <w:tcW w:type="dxa" w:w="2160"/>
          </w:tcPr>
          <w:p>
            <w:r>
              <w:t>Subscription tiers</w:t>
            </w:r>
          </w:p>
        </w:tc>
        <w:tc>
          <w:tcPr>
            <w:tcW w:type="dxa" w:w="2160"/>
          </w:tcPr>
          <w:p>
            <w:r>
              <w:t>PaymentProfile.tier → All services</w:t>
            </w:r>
          </w:p>
        </w:tc>
        <w:tc>
          <w:tcPr>
            <w:tcW w:type="dxa" w:w="2160"/>
          </w:tcPr>
          <w:p>
            <w:r>
              <w:t>Free / Standard / Premium / Gold</w:t>
            </w:r>
          </w:p>
        </w:tc>
        <w:tc>
          <w:tcPr>
            <w:tcW w:type="dxa" w:w="2160"/>
          </w:tcPr>
          <w:p>
            <w:r>
              <w:t>High (recurring)</w:t>
            </w:r>
          </w:p>
        </w:tc>
      </w:tr>
      <w:tr>
        <w:tc>
          <w:tcPr>
            <w:tcW w:type="dxa" w:w="2160"/>
          </w:tcPr>
          <w:p>
            <w:r>
              <w:t>Verification fees</w:t>
            </w:r>
          </w:p>
        </w:tc>
        <w:tc>
          <w:tcPr>
            <w:tcW w:type="dxa" w:w="2160"/>
          </w:tcPr>
          <w:p>
            <w:r>
              <w:t>Verification → All entities</w:t>
            </w:r>
          </w:p>
        </w:tc>
        <w:tc>
          <w:tcPr>
            <w:tcW w:type="dxa" w:w="2160"/>
          </w:tcPr>
          <w:p>
            <w:r>
              <w:t>One-time fee per entity verification</w:t>
            </w:r>
          </w:p>
        </w:tc>
        <w:tc>
          <w:tcPr>
            <w:tcW w:type="dxa" w:w="2160"/>
          </w:tcPr>
          <w:p>
            <w:r>
              <w:t>High</w:t>
            </w:r>
          </w:p>
        </w:tc>
      </w:tr>
      <w:tr>
        <w:tc>
          <w:tcPr>
            <w:tcW w:type="dxa" w:w="2160"/>
          </w:tcPr>
          <w:p>
            <w:r>
              <w:t>Bill payment convenience fees</w:t>
            </w:r>
          </w:p>
        </w:tc>
        <w:tc>
          <w:tcPr>
            <w:tcW w:type="dxa" w:w="2160"/>
          </w:tcPr>
          <w:p>
            <w:r>
              <w:t>BillPayment → TransactionToken</w:t>
            </w:r>
          </w:p>
        </w:tc>
        <w:tc>
          <w:tcPr>
            <w:tcW w:type="dxa" w:w="2160"/>
          </w:tcPr>
          <w:p>
            <w:r>
              <w:t>Small fee per bill paid</w:t>
            </w:r>
          </w:p>
        </w:tc>
        <w:tc>
          <w:tcPr>
            <w:tcW w:type="dxa" w:w="2160"/>
          </w:tcPr>
          <w:p>
            <w:r>
              <w:t>Low</w:t>
            </w:r>
          </w:p>
        </w:tc>
      </w:tr>
    </w:tbl>
    <w:p/>
    <w:p>
      <w:r>
        <w:t>The key insight: every revenue stream is attached to a chainlink, not a standalone service. This means revenue scales with cross-service activity, not single-service volume. A user who only uses the wallet generates a transaction fee. But a user who joins a PaymentGroup, contributes to a piggy bank, lets it auto-invest in a venture via escrow, and insures the investment — that user generates transaction fees + escrow fees + insurance commissions + potentially a premium subscription. The value capture multiplies with each chainlink traversed.</w:t>
      </w:r>
    </w:p>
    <w:p>
      <w:pPr>
        <w:pStyle w:val="Heading2"/>
      </w:pPr>
      <w:r>
        <w:t>7.2 Tier Structure &amp; Pricing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Free</w:t>
            </w:r>
          </w:p>
        </w:tc>
        <w:tc>
          <w:tcPr>
            <w:tcW w:type="dxa" w:w="1728"/>
          </w:tcPr>
          <w:p>
            <w:r>
              <w:rPr>
                <w:b/>
              </w:rPr>
              <w:t>Standard</w:t>
            </w:r>
          </w:p>
        </w:tc>
        <w:tc>
          <w:tcPr>
            <w:tcW w:type="dxa" w:w="1728"/>
          </w:tcPr>
          <w:p>
            <w:r>
              <w:rPr>
                <w:b/>
              </w:rPr>
              <w:t>Premium</w:t>
            </w:r>
          </w:p>
        </w:tc>
        <w:tc>
          <w:tcPr>
            <w:tcW w:type="dxa" w:w="1728"/>
          </w:tcPr>
          <w:p>
            <w:r>
              <w:rPr>
                <w:b/>
              </w:rPr>
              <w:t>Gold</w:t>
            </w:r>
          </w:p>
        </w:tc>
      </w:tr>
      <w:tr>
        <w:tc>
          <w:tcPr>
            <w:tcW w:type="dxa" w:w="1728"/>
          </w:tcPr>
          <w:p>
            <w:r>
              <w:t>Monthly Price</w:t>
            </w:r>
          </w:p>
        </w:tc>
        <w:tc>
          <w:tcPr>
            <w:tcW w:type="dxa" w:w="1728"/>
          </w:tcPr>
          <w:p>
            <w:r>
              <w:t>$0</w:t>
            </w:r>
          </w:p>
        </w:tc>
        <w:tc>
          <w:tcPr>
            <w:tcW w:type="dxa" w:w="1728"/>
          </w:tcPr>
          <w:p>
            <w:r>
              <w:t>$3-5</w:t>
            </w:r>
          </w:p>
        </w:tc>
        <w:tc>
          <w:tcPr>
            <w:tcW w:type="dxa" w:w="1728"/>
          </w:tcPr>
          <w:p>
            <w:r>
              <w:t>$8-12</w:t>
            </w:r>
          </w:p>
        </w:tc>
        <w:tc>
          <w:tcPr>
            <w:tcW w:type="dxa" w:w="1728"/>
          </w:tcPr>
          <w:p>
            <w:r>
              <w:t>$15-20</w:t>
            </w:r>
          </w:p>
        </w:tc>
      </w:tr>
      <w:tr>
        <w:tc>
          <w:tcPr>
            <w:tcW w:type="dxa" w:w="1728"/>
          </w:tcPr>
          <w:p>
            <w:r>
              <w:t>Max Group Capacity</w:t>
            </w:r>
          </w:p>
        </w:tc>
        <w:tc>
          <w:tcPr>
            <w:tcW w:type="dxa" w:w="1728"/>
          </w:tcPr>
          <w:p>
            <w:r>
              <w:t>3 members</w:t>
            </w:r>
          </w:p>
        </w:tc>
        <w:tc>
          <w:tcPr>
            <w:tcW w:type="dxa" w:w="1728"/>
          </w:tcPr>
          <w:p>
            <w:r>
              <w:t>10 members</w:t>
            </w:r>
          </w:p>
        </w:tc>
        <w:tc>
          <w:tcPr>
            <w:tcW w:type="dxa" w:w="1728"/>
          </w:tcPr>
          <w:p>
            <w:r>
              <w:t>25 members</w:t>
            </w:r>
          </w:p>
        </w:tc>
        <w:tc>
          <w:tcPr>
            <w:tcW w:type="dxa" w:w="1728"/>
          </w:tcPr>
          <w:p>
            <w:r>
              <w:t>Unlimited</w:t>
            </w:r>
          </w:p>
        </w:tc>
      </w:tr>
      <w:tr>
        <w:tc>
          <w:tcPr>
            <w:tcW w:type="dxa" w:w="1728"/>
          </w:tcPr>
          <w:p>
            <w:r>
              <w:t>Max Piggy Banks</w:t>
            </w:r>
          </w:p>
        </w:tc>
        <w:tc>
          <w:tcPr>
            <w:tcW w:type="dxa" w:w="1728"/>
          </w:tcPr>
          <w:p>
            <w:r>
              <w:t>3</w:t>
            </w:r>
          </w:p>
        </w:tc>
        <w:tc>
          <w:tcPr>
            <w:tcW w:type="dxa" w:w="1728"/>
          </w:tcPr>
          <w:p>
            <w:r>
              <w:t>10</w:t>
            </w:r>
          </w:p>
        </w:tc>
        <w:tc>
          <w:tcPr>
            <w:tcW w:type="dxa" w:w="1728"/>
          </w:tcPr>
          <w:p>
            <w:r>
              <w:t>25</w:t>
            </w:r>
          </w:p>
        </w:tc>
        <w:tc>
          <w:tcPr>
            <w:tcW w:type="dxa" w:w="1728"/>
          </w:tcPr>
          <w:p>
            <w:r>
              <w:t>Unlimited</w:t>
            </w:r>
          </w:p>
        </w:tc>
      </w:tr>
      <w:tr>
        <w:tc>
          <w:tcPr>
            <w:tcW w:type="dxa" w:w="1728"/>
          </w:tcPr>
          <w:p>
            <w:r>
              <w:t>Chainlink Access</w:t>
            </w:r>
          </w:p>
        </w:tc>
        <w:tc>
          <w:tcPr>
            <w:tcW w:type="dxa" w:w="1728"/>
          </w:tcPr>
          <w:p>
            <w:r>
              <w:t>Basic (wallet + 1 service)</w:t>
            </w:r>
          </w:p>
        </w:tc>
        <w:tc>
          <w:tcPr>
            <w:tcW w:type="dxa" w:w="1728"/>
          </w:tcPr>
          <w:p>
            <w:r>
              <w:t>Cross-service (3 services)</w:t>
            </w:r>
          </w:p>
        </w:tc>
        <w:tc>
          <w:tcPr>
            <w:tcW w:type="dxa" w:w="1728"/>
          </w:tcPr>
          <w:p>
            <w:r>
              <w:t>Full chainlink (all services)</w:t>
            </w:r>
          </w:p>
        </w:tc>
        <w:tc>
          <w:tcPr>
            <w:tcW w:type="dxa" w:w="1728"/>
          </w:tcPr>
          <w:p>
            <w:r>
              <w:t>Premium chainlink (ML pricing, priority)</w:t>
            </w:r>
          </w:p>
        </w:tc>
      </w:tr>
    </w:tbl>
    <w:p/>
    <w:p>
      <w:r>
        <w:t>The tier structure is designed around chainlink access, not storage or feature counts. Free tier users experience the value of a single service. Standard tier users discover chainlinks between services. Premium and Gold users operate across the full chainlink graph, generating the highest per-user revenue and the stickiest engagement.</w:t>
      </w:r>
    </w:p>
    <w:p>
      <w:pPr>
        <w:pStyle w:val="Heading2"/>
      </w:pPr>
      <w:r>
        <w:t>7.3 Competitive Moat Analysis</w:t>
      </w:r>
    </w:p>
    <w:p>
      <w:r>
        <w:t>Qomrade's moat is built on three layers, each corresponding to a different strategic framework:</w:t>
      </w:r>
    </w:p>
    <w:p>
      <w:pPr>
        <w:pStyle w:val="Heading3"/>
      </w:pPr>
      <w:r>
        <w:t>Layer 1: Architectural Moat (Rumelt)</w:t>
      </w:r>
    </w:p>
    <w:p>
      <w:r>
        <w:t>The group-first architecture with PaymentGroup as the central primitive is a structural choice that incumbents cannot easily replicate. PayPal would need to rebuild from scratch to make groups a first-class entity. WhatsApp would need to build a complete fintech stack. The cost and complexity of such a rebuild — while maintaining existing services — is prohibitive. This is what Rumelt calls a "proximate objective": a position that is close enough to reach but far enough that competitors cannot follow.</w:t>
      </w:r>
    </w:p>
    <w:p>
      <w:pPr>
        <w:pStyle w:val="Heading3"/>
      </w:pPr>
      <w:r>
        <w:t>Layer 2: Data Moat (Doerr)</w:t>
      </w:r>
    </w:p>
    <w:p>
      <w:r>
        <w:t>The CreditScore model — fed by transaction history across wallet, groups, marketplace, loans, and bill payments — creates a data moat that thickens with every transaction. A competitor entering the market would need years of transaction data to match Qomrade's underwriting capability. This is the Doerr principle of "stretch goals" applied to data: the moat is not what you have but what you accumulate over time by measuring what matters.</w:t>
      </w:r>
    </w:p>
    <w:p>
      <w:pPr>
        <w:pStyle w:val="Heading3"/>
      </w:pPr>
      <w:r>
        <w:t>Layer 3: Ecosystem Moat (Chainlinks)</w:t>
      </w:r>
    </w:p>
    <w:p>
      <w:r>
        <w:t>The chainlink map itself is the moat. Each chainlink is a dependency: a user who has a PaymentGroup with a linked Room, active GroupTargets with automation rules, a history of RoundContribution participation, and a CreditScore that qualifies them for group loans — that user faces significant switching costs. Leaving Qomrade means rebuilding all those relationships and history from scratch across multiple disconnected apps.</w:t>
      </w:r>
    </w:p>
    <w:p/>
    <w:p>
      <w:r>
        <w:t>The combination of all three moats — architectural, data, and ecosystem — creates a defensible position that no single-service competitor can breach and that multi-service competitors (like telco-led super-apps) would need years and billions of dollars to replicate.</w:t>
      </w:r>
    </w:p>
    <w:p>
      <w:r>
        <w:br w:type="page"/>
      </w:r>
    </w:p>
    <w:p>
      <w:pPr>
        <w:pStyle w:val="Heading1"/>
      </w:pPr>
      <w:r>
        <w:t>8. Conclusion — The Compound Value Thesis</w:t>
      </w:r>
    </w:p>
    <w:p>
      <w:r>
        <w:t>This document has shown that Qomrade's strategy is not a collection of features but a coherent system grounded in:</w:t>
      </w:r>
    </w:p>
    <w:p>
      <w:pPr>
        <w:pStyle w:val="ListBullet"/>
      </w:pPr>
      <w:r>
        <w:t>• A clear diagnosis (Rumelt): The fragmentation of digital services into disconnected apps imposes a hidden tax on users — lost synergy, reduced purchasing power, and increased security risk.</w:t>
      </w:r>
    </w:p>
    <w:p>
      <w:pPr>
        <w:pStyle w:val="ListBullet"/>
      </w:pPr>
      <w:r>
        <w:t>• A focused guiding policy: Build a single ecosystem where payments, commerce, and community reinforce each other through shared primitives — PaymentGroup, TransactionToken, and EntityVerification.</w:t>
      </w:r>
    </w:p>
    <w:p>
      <w:pPr>
        <w:pStyle w:val="ListBullet"/>
      </w:pPr>
      <w:r>
        <w:t>• Coherent actions: Complete the financial flows that exist, wire the credit scoring engine, integrate verification with payment tiers, and surface hidden services — in that order.</w:t>
      </w:r>
    </w:p>
    <w:p>
      <w:pPr>
        <w:pStyle w:val="ListBullet"/>
      </w:pPr>
      <w:r>
        <w:t>• Measurable commitments (Doerr): Every objective tied to a landing page promise has key results that track chainlink activation, not vanity metrics.</w:t>
      </w:r>
    </w:p>
    <w:p>
      <w:pPr>
        <w:pStyle w:val="ListBullet"/>
      </w:pPr>
      <w:r>
        <w:t>• A defensible business model: Revenue is captured at the chainlinks, not at individual services. The moat is architectural (group-first design), data-driven (credit scoring from cross-service history), and ecosystemic (switching costs from interconnected services).</w:t>
      </w:r>
    </w:p>
    <w:p/>
    <w:p>
      <w:r>
        <w:t>The compound value thesis — that the whole ecosystem is worth more than the sum of its individual services — is not a marketing claim. It is an architectural and strategic reality, embedded in the code, the data model, the revenue model, and the OKR framework. Every chainlink that connects two services creates value that neither service could generate alone. Every additional service increases the value of every existing service. Every user who traverses more chainlinks generates more data, more revenue, and more stickiness.</w:t>
      </w:r>
    </w:p>
    <w:p>
      <w:r>
        <w:t>This is what "good strategy" looks like in practice: a diagnosis that identifies the real challenge, a policy that focuses resources on the highest-leverage response, and actions that are coherent, coordinated, and measurable. And it is what "measure what matters" looks like: objectives tied to user outcomes, key results tied to observable behavior, and a commitment to transparency and accountability in execution.</w:t>
      </w:r>
    </w:p>
    <w:p>
      <w:r>
        <w:br w:type="page"/>
      </w:r>
    </w:p>
    <w:p>
      <w:pPr>
        <w:pStyle w:val="Heading1"/>
      </w:pPr>
      <w:r>
        <w:t>References</w:t>
      </w:r>
    </w:p>
    <w:p>
      <w:pPr>
        <w:spacing w:after="80"/>
      </w:pPr>
      <w:r>
        <w:rPr>
          <w:b/>
        </w:rPr>
        <w:t xml:space="preserve">[1] </w:t>
      </w:r>
      <w:r>
        <w:t>Rumelt, R. (2011). Good Strategy Bad Strategy: The Difference and Why It Matters. Crown Business. — Applied: kernel of strategy (diagnosis → guiding policy → coherent action), identification of "bad strategy" patterns (fluff, failure to choose, mistaking goals for strategy).</w:t>
      </w:r>
    </w:p>
    <w:p>
      <w:pPr>
        <w:spacing w:after="80"/>
      </w:pPr>
      <w:r>
        <w:rPr>
          <w:b/>
        </w:rPr>
        <w:t xml:space="preserve">[2] </w:t>
      </w:r>
      <w:r>
        <w:t>Rumelt, R. (2022). The Crux: How Leaders Become Strategists. Currency. — Applied: focusing on the most critical, addressable challenge (the fragmentation tax) rather than spreading effort across all problems simultaneously.</w:t>
      </w:r>
    </w:p>
    <w:p>
      <w:pPr>
        <w:spacing w:after="80"/>
      </w:pPr>
      <w:r>
        <w:rPr>
          <w:b/>
        </w:rPr>
        <w:t xml:space="preserve">[3] </w:t>
      </w:r>
      <w:r>
        <w:t>Doerr, J. (2018). Measure What Matters: OKRs — The Simple Idea that Drives 10x Performance. Portfolio/Penguin. — Applied: OKR framework for Section 6, transparency principle, stretch goals, separation of OKRs from compensation.</w:t>
      </w:r>
    </w:p>
    <w:p>
      <w:pPr>
        <w:spacing w:after="80"/>
      </w:pPr>
      <w:r>
        <w:rPr>
          <w:b/>
        </w:rPr>
        <w:t xml:space="preserve">[4] </w:t>
      </w:r>
      <w:r>
        <w:t>Landing Page: Comrade-Frontend/src/pages/Landing.jsx — Source of diagnosis (three crises), guiding policy quote, and service descriptions.</w:t>
      </w:r>
    </w:p>
    <w:p>
      <w:pPr>
        <w:spacing w:after="80"/>
      </w:pPr>
      <w:r>
        <w:rPr>
          <w:b/>
        </w:rPr>
        <w:t xml:space="preserve">[5] </w:t>
      </w:r>
      <w:r>
        <w:t>Architecture Document: QOMRADE_PLATFORM_ARCHITECTURE.md — Technical reference for chain logic, entity relationships, service maturity assessment, and proposed enhancements.</w:t>
      </w:r>
    </w:p>
    <w:p>
      <w:pPr>
        <w:spacing w:after="80"/>
      </w:pPr>
      <w:r>
        <w:rPr>
          <w:b/>
        </w:rPr>
        <w:t xml:space="preserve">[6] </w:t>
      </w:r>
      <w:r>
        <w:t>Business Model: Comrade-Backend/BUSINESS_MODEL.md — Service interconnectedness matrix, revenue model, competitive positioning, and gap analysis.</w:t>
      </w:r>
    </w:p>
    <w:p>
      <w:pPr>
        <w:spacing w:after="80"/>
      </w:pPr>
      <w:r>
        <w:rPr>
          <w:b/>
        </w:rPr>
        <w:t xml:space="preserve">[7] </w:t>
      </w:r>
      <w:r>
        <w:t>Platform Codebase: Comrade-Backend/ (27 Django apps, 150+ models, 430+ API endpoints) — Concrete evidence of architectural decisions and chainlink implementations.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