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4.png" ContentType="image/png"/>
  <Override PartName="/word/media/rId39.png" ContentType="image/png"/>
  <Override PartName="/word/media/rId3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Integridad</w:t>
      </w:r>
      <w:r>
        <w:t xml:space="preserve"> </w:t>
      </w:r>
      <w:r>
        <w:t xml:space="preserve">Ecosistémica</w:t>
      </w:r>
    </w:p>
    <w:p>
      <w:pPr>
        <w:pStyle w:val="FirstParagraph"/>
      </w:pPr>
      <w:r>
        <w:t xml:space="preserve">La Integridad Ecosistémica (IE) describe la salud de un ecosistema, se</w:t>
      </w:r>
      <w:r>
        <w:t xml:space="preserve"> </w:t>
      </w:r>
      <w:r>
        <w:t xml:space="preserve">refiere a que tan intacto, completo o funcional está respecto a su</w:t>
      </w:r>
      <w:r>
        <w:t xml:space="preserve"> </w:t>
      </w:r>
      <w:r>
        <w:t xml:space="preserve">estado natural</w:t>
      </w:r>
      <w:r>
        <w:t xml:space="preserve"> </w:t>
      </w:r>
      <w:r>
        <w:t xml:space="preserve">(Wildlife Conservation Society 2020)</w:t>
      </w:r>
      <w:r>
        <w:t xml:space="preserve">. La integridad más alta la alcanzan las</w:t>
      </w:r>
      <w:r>
        <w:t xml:space="preserve"> </w:t>
      </w:r>
      <w:r>
        <w:t xml:space="preserve">áreas no afectadas de manera significativa por actividades humanas, las</w:t>
      </w:r>
      <w:r>
        <w:t xml:space="preserve"> </w:t>
      </w:r>
      <w:r>
        <w:t xml:space="preserve">cuales son fundamentales para la conservación de la biodiversidad, pues</w:t>
      </w:r>
      <w:r>
        <w:t xml:space="preserve"> </w:t>
      </w:r>
      <w:r>
        <w:t xml:space="preserve">es en ecosistemas con alta integridad que las especies tienen menor</w:t>
      </w:r>
      <w:r>
        <w:t xml:space="preserve"> </w:t>
      </w:r>
      <w:r>
        <w:t xml:space="preserve">riesgo de extinción</w:t>
      </w:r>
      <w:r>
        <w:t xml:space="preserve"> </w:t>
      </w:r>
      <w:r>
        <w:t xml:space="preserve">(Di Marco et al. 2019)</w:t>
      </w:r>
      <w:r>
        <w:t xml:space="preserve">. Además, estas áreas contribuyen</w:t>
      </w:r>
      <w:r>
        <w:t xml:space="preserve"> </w:t>
      </w:r>
      <w:r>
        <w:t xml:space="preserve">en mayor medida, respecto a áreas degradadas, a los servicios</w:t>
      </w:r>
      <w:r>
        <w:t xml:space="preserve"> </w:t>
      </w:r>
      <w:r>
        <w:t xml:space="preserve">ecológicos, como la absorción de CO</w:t>
      </w:r>
      <w:r>
        <w:rPr>
          <w:vertAlign w:val="subscript"/>
        </w:rPr>
        <w:t xml:space="preserve">2</w:t>
      </w:r>
      <w:r>
        <w:t xml:space="preserve">, el suministro de agua y</w:t>
      </w:r>
      <w:r>
        <w:t xml:space="preserve"> </w:t>
      </w:r>
      <w:r>
        <w:t xml:space="preserve">protección de riesgos causados por el cambio climático</w:t>
      </w:r>
      <w:r>
        <w:t xml:space="preserve"> </w:t>
      </w:r>
      <w:r>
        <w:t xml:space="preserve">(Watson et al. 2018; Martin and Watson 2016)</w:t>
      </w:r>
      <w:r>
        <w:t xml:space="preserve">. Por lo cual, es de gran</w:t>
      </w:r>
      <w:r>
        <w:t xml:space="preserve"> </w:t>
      </w:r>
      <w:r>
        <w:t xml:space="preserve">importancia, medir la IE para preservar áreas con alta integridad y</w:t>
      </w:r>
      <w:r>
        <w:t xml:space="preserve"> </w:t>
      </w:r>
      <w:r>
        <w:t xml:space="preserve">rehabilitar áreas de baja integridad.</w:t>
      </w:r>
    </w:p>
    <w:bookmarkStart w:id="31" w:name="estimación-de-la-integridad-ecosistémica"/>
    <w:p>
      <w:pPr>
        <w:pStyle w:val="Heading2"/>
      </w:pPr>
      <w:r>
        <w:t xml:space="preserve">Estimación de la Integridad Ecosistémica</w:t>
      </w:r>
    </w:p>
    <w:p>
      <w:pPr>
        <w:pStyle w:val="FirstParagraph"/>
      </w:pPr>
      <w:r>
        <w:t xml:space="preserve">Con el fin de estimar la IE para distintos años en todo el territorio</w:t>
      </w:r>
      <w:r>
        <w:t xml:space="preserve"> </w:t>
      </w:r>
      <w:r>
        <w:t xml:space="preserve">mexicano, se ajustó un modelo llamado</w:t>
      </w:r>
      <w:r>
        <w:t xml:space="preserve"> </w:t>
      </w:r>
      <w:r>
        <w:t xml:space="preserve">“</w:t>
      </w:r>
      <w:r>
        <w:t xml:space="preserve">extreme gradient boosting</w:t>
      </w:r>
      <w:r>
        <w:t xml:space="preserve">”</w:t>
      </w:r>
      <w:r>
        <w:t xml:space="preserve"> </w:t>
      </w:r>
      <w:r>
        <w:t xml:space="preserve">(refuerzo del gradiente extremo), o XGBoost por sus siglas en inglés, el</w:t>
      </w:r>
      <w:r>
        <w:t xml:space="preserve"> </w:t>
      </w:r>
      <w:r>
        <w:t xml:space="preserve">cual es un método de aprendizaje automático supervisado para</w:t>
      </w:r>
      <w:r>
        <w:t xml:space="preserve"> </w:t>
      </w:r>
      <w:r>
        <w:t xml:space="preserve">clasificación o regresión, que mediante variables predictoras, ya sea</w:t>
      </w:r>
      <w:r>
        <w:t xml:space="preserve"> </w:t>
      </w:r>
      <w:r>
        <w:t xml:space="preserve">continuas o categóricas, puede predecir el valor de interés, en este</w:t>
      </w:r>
      <w:r>
        <w:t xml:space="preserve"> </w:t>
      </w:r>
      <w:r>
        <w:t xml:space="preserve">caso el Índice de IE (IIE). Éste método combina modelos débiles, es</w:t>
      </w:r>
      <w:r>
        <w:t xml:space="preserve"> </w:t>
      </w:r>
      <w:r>
        <w:t xml:space="preserve">decir modelos con baja precisión, comúnmente árboles de decisión, para</w:t>
      </w:r>
      <w:r>
        <w:t xml:space="preserve"> </w:t>
      </w:r>
      <w:r>
        <w:t xml:space="preserve">que en conjunto se obtenga una predicción mucho más exacta. El</w:t>
      </w:r>
      <w:r>
        <w:t xml:space="preserve"> </w:t>
      </w:r>
      <w:r>
        <w:t xml:space="preserve">entrenamiento es iterativo, agregando en cada paso un nuevo árbol de</w:t>
      </w:r>
      <w:r>
        <w:t xml:space="preserve"> </w:t>
      </w:r>
      <w:r>
        <w:t xml:space="preserve">decisión que predice el error de los árboles anteriores. Al final, se</w:t>
      </w:r>
      <w:r>
        <w:t xml:space="preserve"> </w:t>
      </w:r>
      <w:r>
        <w:t xml:space="preserve">combinan las predicciones de los árboles en una predicción total, la</w:t>
      </w:r>
      <w:r>
        <w:t xml:space="preserve"> </w:t>
      </w:r>
      <w:r>
        <w:t xml:space="preserve">cual suele ser más precisa que otros modelos, como bosque aleatorio o</w:t>
      </w:r>
      <w:r>
        <w:t xml:space="preserve"> </w:t>
      </w:r>
      <w:r>
        <w:t xml:space="preserve">maquina de soporte vectorial.</w:t>
      </w:r>
    </w:p>
    <w:p>
      <w:pPr>
        <w:pStyle w:val="BodyText"/>
      </w:pPr>
      <w:r>
        <w:t xml:space="preserve">Para predecir el valor del IIE, es necesario definir los valores del IIE</w:t>
      </w:r>
      <w:r>
        <w:t xml:space="preserve"> </w:t>
      </w:r>
      <w:r>
        <w:t xml:space="preserve">que se tengan a un tiempo dado, para después entrenar el modelo con</w:t>
      </w:r>
      <w:r>
        <w:t xml:space="preserve"> </w:t>
      </w:r>
      <w:r>
        <w:t xml:space="preserve">estos y con el conjunto de variables predictoras, de tal forma que se</w:t>
      </w:r>
      <w:r>
        <w:t xml:space="preserve"> </w:t>
      </w:r>
      <w:r>
        <w:t xml:space="preserve">pueda crear la relación de los valores del IIE con las variables. Al</w:t>
      </w:r>
      <w:r>
        <w:t xml:space="preserve"> </w:t>
      </w:r>
      <w:r>
        <w:t xml:space="preserve">hacer esto, tendremos un modelo que a partir de los valores de las</w:t>
      </w:r>
      <w:r>
        <w:t xml:space="preserve"> </w:t>
      </w:r>
      <w:r>
        <w:t xml:space="preserve">variables predictoras de cualquier periodo, estima el valor del IIE. Es</w:t>
      </w:r>
      <w:r>
        <w:t xml:space="preserve"> </w:t>
      </w:r>
      <w:r>
        <w:t xml:space="preserve">importante notar que una mejor modelación va a depender de la elección</w:t>
      </w:r>
      <w:r>
        <w:t xml:space="preserve"> </w:t>
      </w:r>
      <w:r>
        <w:t xml:space="preserve">que se haga de los parámetros del modelo XGBoost y de lo relevante de</w:t>
      </w:r>
      <w:r>
        <w:t xml:space="preserve"> </w:t>
      </w:r>
      <w:r>
        <w:t xml:space="preserve">las variables predictoras para el valor del IIE.</w:t>
      </w:r>
    </w:p>
    <w:bookmarkStart w:id="20" w:name="índice-de-integridad-ecosistémica"/>
    <w:p>
      <w:pPr>
        <w:pStyle w:val="Heading3"/>
      </w:pPr>
      <w:r>
        <w:t xml:space="preserve">Índice de Integridad Ecosistémica</w:t>
      </w:r>
    </w:p>
    <w:p>
      <w:pPr>
        <w:pStyle w:val="FirstParagraph"/>
      </w:pPr>
      <w:r>
        <w:t xml:space="preserve">La IE es un concepto complejo, por lo que para su medición usamos una</w:t>
      </w:r>
      <w:r>
        <w:t xml:space="preserve"> </w:t>
      </w:r>
      <w:r>
        <w:t xml:space="preserve">medida</w:t>
      </w:r>
      <w:r>
        <w:t xml:space="preserve"> </w:t>
      </w:r>
      <w:r>
        <w:rPr>
          <w:iCs/>
          <w:i/>
        </w:rPr>
        <w:t xml:space="preserve">proxy</w:t>
      </w:r>
      <w:r>
        <w:t xml:space="preserve"> </w:t>
      </w:r>
      <w:r>
        <w:t xml:space="preserve">que refleje el impacto humano en la naturaleza</w:t>
      </w:r>
      <w:r>
        <w:t xml:space="preserve"> </w:t>
      </w:r>
      <w:r>
        <w:t xml:space="preserve">(Hansen et al. 2021)</w:t>
      </w:r>
      <w:r>
        <w:t xml:space="preserve">. En este caso se definió un IIE de acuerdo al grado</w:t>
      </w:r>
      <w:r>
        <w:t xml:space="preserve"> </w:t>
      </w:r>
      <w:r>
        <w:t xml:space="preserve">de transformación de la vegetación natural de los ecosistemas, respecto</w:t>
      </w:r>
      <w:r>
        <w:t xml:space="preserve"> </w:t>
      </w:r>
      <w:r>
        <w:t xml:space="preserve">a su situación actual. Este concepto, también llamado</w:t>
      </w:r>
      <w:r>
        <w:t xml:space="preserve"> </w:t>
      </w:r>
      <w:r>
        <w:rPr>
          <w:iCs/>
          <w:i/>
        </w:rPr>
        <w:t xml:space="preserve">hemerobia</w:t>
      </w:r>
      <w:r>
        <w:t xml:space="preserve">, se ha</w:t>
      </w:r>
      <w:r>
        <w:t xml:space="preserve"> </w:t>
      </w:r>
      <w:r>
        <w:t xml:space="preserve">utilizado en trabajos previos [</w:t>
      </w:r>
      <w:r>
        <w:t xml:space="preserve">Equihua et al. (2024)</w:t>
      </w:r>
      <w:r>
        <w:t xml:space="preserve">]</w:t>
      </w:r>
      <w:r>
        <w:t xml:space="preserve">(Instituto Nacional de Estadística Geografía e Informática 2021b)</w:t>
      </w:r>
      <w:r>
        <w:t xml:space="preserve"> </w:t>
      </w:r>
      <w:r>
        <w:t xml:space="preserve">para</w:t>
      </w:r>
      <w:r>
        <w:t xml:space="preserve"> </w:t>
      </w:r>
      <w:r>
        <w:t xml:space="preserve">la estimación de la IE.</w:t>
      </w:r>
    </w:p>
    <w:p>
      <w:pPr>
        <w:pStyle w:val="BodyText"/>
      </w:pPr>
      <w:r>
        <w:t xml:space="preserve">Para su construcción se comparó la</w:t>
      </w:r>
      <w:r>
        <w:t xml:space="preserve"> </w:t>
      </w:r>
      <w:r>
        <w:rPr>
          <w:iCs/>
          <w:i/>
        </w:rPr>
        <w:t xml:space="preserve">vegetación primaria</w:t>
      </w:r>
      <w:r>
        <w:t xml:space="preserve"> </w:t>
      </w:r>
      <w:r>
        <w:t xml:space="preserve">(vegetación</w:t>
      </w:r>
      <w:r>
        <w:t xml:space="preserve"> </w:t>
      </w:r>
      <w:r>
        <w:t xml:space="preserve">antes de los grandes cambios antropogénicos)</w:t>
      </w:r>
      <w:r>
        <w:t xml:space="preserve"> </w:t>
      </w:r>
      <w:r>
        <w:t xml:space="preserve">(Instituto Nacional de Estadística Geografía e Informática 2003)</w:t>
      </w:r>
      <w:r>
        <w:t xml:space="preserve">, con</w:t>
      </w:r>
      <w:r>
        <w:t xml:space="preserve"> </w:t>
      </w:r>
      <w:r>
        <w:t xml:space="preserve">el mapa de uso de suelo y vegetación más reciente</w:t>
      </w:r>
      <w:r>
        <w:t xml:space="preserve"> </w:t>
      </w:r>
      <w:r>
        <w:t xml:space="preserve">(Instituto Nacional de Estadística Geografía e Informática 2021a)</w:t>
      </w:r>
      <w:r>
        <w:t xml:space="preserve">, el</w:t>
      </w:r>
      <w:r>
        <w:t xml:space="preserve"> </w:t>
      </w:r>
      <w:r>
        <w:t xml:space="preserve">cual contiene datos de 2017. Se asignó un valor al índice de acuerdo a</w:t>
      </w:r>
      <w:r>
        <w:t xml:space="preserve"> </w:t>
      </w:r>
      <w:r>
        <w:t xml:space="preserve">la severidad del cambio, tomando los valores descritos en</w:t>
      </w:r>
      <w:r>
        <w:t xml:space="preserve"> </w:t>
      </w:r>
      <w:r>
        <w:t xml:space="preserve">[</w:t>
      </w:r>
      <w:r>
        <w:t xml:space="preserve">Equihua et al. (2024)</w:t>
      </w:r>
      <w:r>
        <w:t xml:space="preserve">]</w:t>
      </w:r>
      <w:r>
        <w:t xml:space="preserve">(Instituto Nacional de Estadística Geografía e Informática 2021b)</w:t>
      </w:r>
      <w:r>
        <w:t xml:space="preserve"> </w:t>
      </w:r>
      <w:r>
        <w:t xml:space="preserve">y de acuerdo a la siguiente tabla.</w:t>
      </w:r>
      <w:r>
        <w:t xml:space="preserve"> </w:t>
      </w:r>
      <w:r>
        <w:t xml:space="preserve">Por ejemplo, si pasa de bosque de coníferas a agricultura de riego, se</w:t>
      </w:r>
      <w:r>
        <w:t xml:space="preserve"> </w:t>
      </w:r>
      <w:r>
        <w:t xml:space="preserve">asigna un valor 13, que corresponde a una</w:t>
      </w:r>
      <w:r>
        <w:t xml:space="preserve"> </w:t>
      </w:r>
      <w:r>
        <w:rPr>
          <w:iCs/>
          <w:i/>
        </w:rPr>
        <w:t xml:space="preserve">degradación severa media</w:t>
      </w:r>
      <w:r>
        <w:rPr>
          <w:iCs/>
          <w:i/>
        </w:rPr>
        <w:t xml:space="preserve"> </w:t>
      </w:r>
      <w:r>
        <w:rPr>
          <w:iCs/>
          <w:i/>
        </w:rPr>
        <w:t xml:space="preserve">superior</w:t>
      </w:r>
      <w:r>
        <w:t xml:space="preserve">, o bien si discretizamos el índice en cuatro categorías (alta,</w:t>
      </w:r>
      <w:r>
        <w:t xml:space="preserve"> </w:t>
      </w:r>
      <w:r>
        <w:t xml:space="preserve">media, baja y muy baja) corresponde a</w:t>
      </w:r>
      <w:r>
        <w:t xml:space="preserve"> </w:t>
      </w:r>
      <w:r>
        <w:rPr>
          <w:iCs/>
          <w:i/>
        </w:rPr>
        <w:t xml:space="preserve">integridad baja</w:t>
      </w:r>
      <w:r>
        <w:t xml:space="preserve">. De esta forma</w:t>
      </w:r>
      <w:r>
        <w:t xml:space="preserve"> </w:t>
      </w:r>
      <w:r>
        <w:t xml:space="preserve">el IIE es una medida que refleja el impacto de la intervención humana en</w:t>
      </w:r>
      <w:r>
        <w:t xml:space="preserve"> </w:t>
      </w:r>
      <w:r>
        <w:t xml:space="preserve">la vegetación de los ecosistemas.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96"/>
        <w:gridCol w:w="1896"/>
        <w:gridCol w:w="1896"/>
        <w:gridCol w:w="223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IIE (19 categorías)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IIE (4 Categorías)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hay cambio de vegetación de estado primario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Pseudoestasis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hay cambio de estado primario, si hay cambio de tipo de vegetación pero dentro de la misma ecovariante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Pseudoestasis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hay cambio de estado primario, si hay cambio de tipo de vegetación a otra ecovariante pero el estrato dominante ascendiendo en porte (ej. matorral a bosque)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Pseudoestasis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hay cambio de estado primario, si hay cambio de tipo de vegetación a otra ecovariante pero manteniéndose el porte del estrato dominante (ej. boque de encino a selva baja)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muy somera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hay cambio de estado primario, si hay cambio de tipo de vegetación a otra ecovariante pero el estrato dominante desceinde en porte (ej. matorral a pastizal o herbazal)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somera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bosques o selvas primarias a vegetación secundaria arbórea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somera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bosque inducido o plantación forestal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moderada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bosques, selvas o matorrales primarios a vegetación secundaria arbustiva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moderada media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vegetación sabanoide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moderada media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bosques , selvsa, matorrales, herbazales o pastizales primarios a vegetación secundaria herbacea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moderada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palmar inducido o pastizal inducido o pastizal cultivado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severa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cuerpo de agua a uso acuícola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severa media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agricultura de temporal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severa media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agricultura de riego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severa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agricultura de humedad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muy severa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muy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cuerpo de agua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muy severa media inferior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muy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área sin vegetación aparente o desprovista de vegetación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muy severa media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muy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asentamientos humanos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muy severa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Integridad muy 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cualquier tipo de vegetación primaria a zona urbana</w:t>
            </w:r>
          </w:p>
        </w:tc>
      </w:tr>
    </w:tbl>
    <w:bookmarkEnd w:id="20"/>
    <w:bookmarkStart w:id="23" w:name="variables"/>
    <w:p>
      <w:pPr>
        <w:pStyle w:val="Heading3"/>
      </w:pPr>
      <w:r>
        <w:t xml:space="preserve">Variables</w:t>
      </w:r>
    </w:p>
    <w:p>
      <w:pPr>
        <w:pStyle w:val="FirstParagraph"/>
      </w:pPr>
      <w:r>
        <w:t xml:space="preserve">Las variables utilizadas para la predicción del IIE provienen de datos</w:t>
      </w:r>
      <w:r>
        <w:t xml:space="preserve"> </w:t>
      </w:r>
      <w:r>
        <w:t xml:space="preserve">de percepción remota (satelitales), estos tienen como ventaja que cubren</w:t>
      </w:r>
      <w:r>
        <w:t xml:space="preserve"> </w:t>
      </w:r>
      <w:r>
        <w:t xml:space="preserve">todo el territorio mexicano, están disponibles para distintos periodos,</w:t>
      </w:r>
      <w:r>
        <w:t xml:space="preserve"> </w:t>
      </w:r>
      <w:r>
        <w:t xml:space="preserve">son de uso público, y se puede acceder a ellos casi en tiempo real, por</w:t>
      </w:r>
      <w:r>
        <w:t xml:space="preserve"> </w:t>
      </w:r>
      <w:r>
        <w:t xml:space="preserve">lo que permiten una estimación del IIE actual e histórica.</w:t>
      </w:r>
    </w:p>
    <w:bookmarkStart w:id="21" w:name="variables-predictoras"/>
    <w:p>
      <w:pPr>
        <w:pStyle w:val="Heading4"/>
      </w:pPr>
      <w:r>
        <w:t xml:space="preserve">Variables predictoras</w:t>
      </w:r>
    </w:p>
    <w:p>
      <w:pPr>
        <w:pStyle w:val="FirstParagraph"/>
      </w:pPr>
      <w:r>
        <w:t xml:space="preserve">Con el fin de describir la estructura de la vegetación se incluyeron en</w:t>
      </w:r>
      <w:r>
        <w:t xml:space="preserve"> </w:t>
      </w:r>
      <w:r>
        <w:t xml:space="preserve">el modelo datos de radar de apertura sintética de banda C, provenientes</w:t>
      </w:r>
      <w:r>
        <w:t xml:space="preserve"> </w:t>
      </w:r>
      <w:r>
        <w:t xml:space="preserve">del satélite de la misión Sentinel-1. Este radar envía ondas a la Tierra</w:t>
      </w:r>
      <w:r>
        <w:t xml:space="preserve"> </w:t>
      </w:r>
      <w:r>
        <w:t xml:space="preserve">que al rebotar de regreso permiten formar una imagen con información del</w:t>
      </w:r>
      <w:r>
        <w:t xml:space="preserve"> </w:t>
      </w:r>
      <w:r>
        <w:t xml:space="preserve">terreno, incluso en condiciones de oscuridad, de lluvia o neblina. Las</w:t>
      </w:r>
      <w:r>
        <w:t xml:space="preserve"> </w:t>
      </w:r>
      <w:r>
        <w:t xml:space="preserve">ondas de radar interactuan de manera distinta de acuerdo a la rugosidad,</w:t>
      </w:r>
      <w:r>
        <w:t xml:space="preserve"> </w:t>
      </w:r>
      <w:r>
        <w:t xml:space="preserve">humedad y propiedades dieléctricas de la superficie, por lo que estos</w:t>
      </w:r>
      <w:r>
        <w:t xml:space="preserve"> </w:t>
      </w:r>
      <w:r>
        <w:t xml:space="preserve">datos se han utilizado previamente para el estudio del suelo y la</w:t>
      </w:r>
      <w:r>
        <w:t xml:space="preserve"> </w:t>
      </w:r>
      <w:r>
        <w:t xml:space="preserve">vegetación, por ejemplo, para la predicción de la altura del dosel</w:t>
      </w:r>
      <w:r>
        <w:t xml:space="preserve"> </w:t>
      </w:r>
      <w:r>
        <w:t xml:space="preserve">(Nandy, Srinet, and Padalia 2021)</w:t>
      </w:r>
      <w:r>
        <w:t xml:space="preserve">. Otra variable incluida para describir la</w:t>
      </w:r>
      <w:r>
        <w:t xml:space="preserve"> </w:t>
      </w:r>
      <w:r>
        <w:t xml:space="preserve">vegetación, fue la productividad primaria bruta, que es la energía total</w:t>
      </w:r>
      <w:r>
        <w:t xml:space="preserve"> </w:t>
      </w:r>
      <w:r>
        <w:t xml:space="preserve">fijada por fotosíntesis por las plantas.</w:t>
      </w:r>
    </w:p>
    <w:p>
      <w:pPr>
        <w:pStyle w:val="BodyText"/>
      </w:pPr>
      <w:r>
        <w:t xml:space="preserve">También se consideró la cobertura terrestre, que identifica 17 clases,</w:t>
      </w:r>
      <w:r>
        <w:t xml:space="preserve"> </w:t>
      </w:r>
      <w:r>
        <w:t xml:space="preserve">entre ellas cultivos y terrenos urbanos, los cuales están directamente</w:t>
      </w:r>
      <w:r>
        <w:t xml:space="preserve"> </w:t>
      </w:r>
      <w:r>
        <w:t xml:space="preserve">relacionados a una integridad baja o muy baja. Por último, se consideró</w:t>
      </w:r>
      <w:r>
        <w:t xml:space="preserve"> </w:t>
      </w:r>
      <w:r>
        <w:t xml:space="preserve">la distancia al borde del parche, ésta es la distancia de cada pixel al</w:t>
      </w:r>
      <w:r>
        <w:t xml:space="preserve"> </w:t>
      </w:r>
      <w:r>
        <w:t xml:space="preserve">cultivo, terreno urbano o camino más cercano, suponiendo que entre mayor</w:t>
      </w:r>
      <w:r>
        <w:t xml:space="preserve"> </w:t>
      </w:r>
      <w:r>
        <w:t xml:space="preserve">distancia exista a áreas con actividad humana mayor será la integridad.</w:t>
      </w:r>
    </w:p>
    <w:bookmarkEnd w:id="21"/>
    <w:bookmarkStart w:id="22" w:name="variables-de-control"/>
    <w:p>
      <w:pPr>
        <w:pStyle w:val="Heading4"/>
      </w:pPr>
      <w:r>
        <w:t xml:space="preserve">Variables de control</w:t>
      </w:r>
    </w:p>
    <w:p>
      <w:pPr>
        <w:pStyle w:val="FirstParagraph"/>
      </w:pPr>
      <w:r>
        <w:t xml:space="preserve">Para estimar el IIE, debemos considerar que México cuenta con distintos</w:t>
      </w:r>
      <w:r>
        <w:t xml:space="preserve"> </w:t>
      </w:r>
      <w:r>
        <w:t xml:space="preserve">tipos de ecosistemas con diversas condiciones bioclimáticas, por lo que</w:t>
      </w:r>
      <w:r>
        <w:t xml:space="preserve"> </w:t>
      </w:r>
      <w:r>
        <w:t xml:space="preserve">se incluyó como variable de control la clasificación propuestas por</w:t>
      </w:r>
      <w:r>
        <w:t xml:space="preserve"> </w:t>
      </w:r>
      <w:r>
        <w:t xml:space="preserve">Holdridge, que utiliza la precipitación, la biotemperatura (temperatura</w:t>
      </w:r>
      <w:r>
        <w:t xml:space="preserve"> </w:t>
      </w:r>
      <w:r>
        <w:t xml:space="preserve">promedio en la que se produce el crecimiento de las plantas) y la</w:t>
      </w:r>
      <w:r>
        <w:t xml:space="preserve"> </w:t>
      </w:r>
      <w:r>
        <w:t xml:space="preserve">evapotranspiración (cantidad de agua que se evapora o transpira a través</w:t>
      </w:r>
      <w:r>
        <w:t xml:space="preserve"> </w:t>
      </w:r>
      <w:r>
        <w:t xml:space="preserve">de las plantas) para clasificar el territorio en 31 zonas de vida.</w:t>
      </w:r>
      <w:r>
        <w:t xml:space="preserve"> </w:t>
      </w:r>
      <w:r>
        <w:t xml:space="preserve">Además, se incluyó la elevación, pues de esta también depende el tipo de</w:t>
      </w:r>
      <w:r>
        <w:t xml:space="preserve"> </w:t>
      </w:r>
      <w:r>
        <w:t xml:space="preserve">vegetación.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Fuente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Resolución de origen 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Transformación a resolución de 250m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Zona de vida de Holdridge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Agrupa en 28 zonas basándose en precipitación, biotemperatura y la evapotranspiración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de vida de Holdridge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Interpolación con Nearest Neighbor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Portal de Geoinformación, CONABIO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Elevación (DEM)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Altura sobre nivel promedio del 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Promedio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 GLO-30, Copernicus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Mínimo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Mínimo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Máximo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Máximo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Productividad primaria bruta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Energía total fijada por fotosíntesis por las plantas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Promedio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Interpolación bilinear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Terra Gross Primary Productivity, NASA LP DAAC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Desviación estándar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Radar de apertura sintética en la banda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Coeficiente de retrodispersión que depende de la geometría del terreno y sus características electromagnéticas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Promedio de banda VH y VV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Sentinel-1, Copernicus Sentinel data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Desviación estándar de banda VH y VV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Métricas de textura (entropía y promedio) de banda VH y VV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del suelo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Estimación basada en imágenes satelitales del tipo de uso de suelo, que incluye cultivos, asentamientos urbanos, bosques, etc.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Uso de suelo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Interpolación con Nearest Neighbor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MODIS Land Cover Type, NASA LP DAAC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Distancia al borde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Distancia, en metros, de cada pixel al borde del parche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Distancia al borde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MODIS Land Cover Type, NASA LP DAAC. Red Nacional de Caminos, INEGI</w:t>
            </w:r>
          </w:p>
        </w:tc>
      </w:tr>
    </w:tbl>
    <w:bookmarkEnd w:id="22"/>
    <w:bookmarkEnd w:id="23"/>
    <w:bookmarkStart w:id="27" w:name="modelaje"/>
    <w:p>
      <w:pPr>
        <w:pStyle w:val="Heading3"/>
      </w:pPr>
      <w:r>
        <w:t xml:space="preserve">Modelaje</w:t>
      </w:r>
    </w:p>
    <w:p>
      <w:pPr>
        <w:pStyle w:val="FirstParagraph"/>
      </w:pPr>
      <w:r>
        <w:t xml:space="preserve">Para entrenar el modelo XGBoost se tomó el IIE de 2017 debido a que el</w:t>
      </w:r>
      <w:r>
        <w:t xml:space="preserve"> </w:t>
      </w:r>
      <w:r>
        <w:t xml:space="preserve">mapa de uso de suelo y vegetación</w:t>
      </w:r>
      <w:r>
        <w:t xml:space="preserve"> </w:t>
      </w:r>
      <w:r>
        <w:t xml:space="preserve">(Instituto Nacional de Estadística Geografía e Informática 2021a)</w:t>
      </w:r>
      <w:r>
        <w:t xml:space="preserve">, con el que éste se</w:t>
      </w:r>
      <w:r>
        <w:t xml:space="preserve"> </w:t>
      </w:r>
      <w:r>
        <w:t xml:space="preserve">genera, es de 2017. Se recolectaron los datos para estimar las variables</w:t>
      </w:r>
      <w:r>
        <w:t xml:space="preserve"> </w:t>
      </w:r>
      <w:r>
        <w:t xml:space="preserve">predictoras y de control para este año. Si la fuente de datos está</w:t>
      </w:r>
      <w:r>
        <w:t xml:space="preserve"> </w:t>
      </w:r>
      <w:r>
        <w:t xml:space="preserve">ligada a variaciones estacionales, por ejemplo, la productividad</w:t>
      </w:r>
      <w:r>
        <w:t xml:space="preserve"> </w:t>
      </w:r>
      <w:r>
        <w:t xml:space="preserve">primaria bruta, se tomaron los datos de un sólo mes al año (marzo), con</w:t>
      </w:r>
      <w:r>
        <w:t xml:space="preserve"> </w:t>
      </w:r>
      <w:r>
        <w:t xml:space="preserve">el fin de que estos tengan menor variabilidad. Los mapas de cada una de</w:t>
      </w:r>
      <w:r>
        <w:t xml:space="preserve"> </w:t>
      </w:r>
      <w:r>
        <w:t xml:space="preserve">las variables, así como el del IIE de 2017, fueron proyectados a la</w:t>
      </w:r>
      <w:r>
        <w:t xml:space="preserve"> </w:t>
      </w:r>
      <w:r>
        <w:t xml:space="preserve">misma extensión, sistema de coordenadas (EPSG) y resolución, obteniendo</w:t>
      </w:r>
      <w:r>
        <w:t xml:space="preserve"> </w:t>
      </w:r>
      <w:r>
        <w:t xml:space="preserve">mapas con pixeles de 250m x 250m.</w:t>
      </w:r>
    </w:p>
    <w:p>
      <w:pPr>
        <w:pStyle w:val="BodyText"/>
      </w:pPr>
      <w:r>
        <w:t xml:space="preserve">Con el fin de tomar en cuenta la autocorrelación espacial, se aplicó el</w:t>
      </w:r>
      <w:r>
        <w:t xml:space="preserve"> </w:t>
      </w:r>
      <w:r>
        <w:t xml:space="preserve">algoritmo SLIC (Simple Linear Iterative Clustering), que crea</w:t>
      </w:r>
      <w:r>
        <w:t xml:space="preserve"> </w:t>
      </w:r>
      <w:r>
        <w:t xml:space="preserve">agrupaciones de pixeles, llamadas</w:t>
      </w:r>
      <w:r>
        <w:t xml:space="preserve"> </w:t>
      </w:r>
      <w:r>
        <w:rPr>
          <w:iCs/>
          <w:i/>
        </w:rPr>
        <w:t xml:space="preserve">superpixeles</w:t>
      </w:r>
      <w:r>
        <w:t xml:space="preserve">, con características</w:t>
      </w:r>
      <w:r>
        <w:t xml:space="preserve"> </w:t>
      </w:r>
      <w:r>
        <w:t xml:space="preserve">similares de acuerdo a las variables deseadas. En este caso, se</w:t>
      </w:r>
      <w:r>
        <w:t xml:space="preserve"> </w:t>
      </w:r>
      <w:r>
        <w:t xml:space="preserve">utilizaron aquellas que representan la estructura de la vegetación, es</w:t>
      </w:r>
      <w:r>
        <w:t xml:space="preserve"> </w:t>
      </w:r>
      <w:r>
        <w:t xml:space="preserve">decir datos de radar y de fotosíntesis, en específico el promedio de las</w:t>
      </w:r>
      <w:r>
        <w:t xml:space="preserve"> </w:t>
      </w:r>
      <w:r>
        <w:t xml:space="preserve">bandas VV y VH, así como la productividad primaria bruta media y su</w:t>
      </w:r>
      <w:r>
        <w:t xml:space="preserve"> </w:t>
      </w:r>
      <w:r>
        <w:t xml:space="preserve">desviación estándar. Se transformó cada uno de los mapas de variables y</w:t>
      </w:r>
      <w:r>
        <w:t xml:space="preserve"> </w:t>
      </w:r>
      <w:r>
        <w:t xml:space="preserve">el del IIE a estos</w:t>
      </w:r>
      <w:r>
        <w:t xml:space="preserve"> </w:t>
      </w:r>
      <w:r>
        <w:rPr>
          <w:iCs/>
          <w:i/>
        </w:rPr>
        <w:t xml:space="preserve">superpixeles</w:t>
      </w:r>
      <w:r>
        <w:t xml:space="preserve">.</w:t>
      </w:r>
    </w:p>
    <w:p>
      <w:pPr>
        <w:pStyle w:val="BodyText"/>
      </w:pPr>
      <w:r>
        <w:t xml:space="preserve">Para relacionar las variables con el IIE, se entrenó un modelo XGBoost.</w:t>
      </w:r>
      <w:r>
        <w:t xml:space="preserve"> </w:t>
      </w:r>
      <w:r>
        <w:t xml:space="preserve">Con este modelo se obtiene la probabilidad de que cada</w:t>
      </w:r>
      <w:r>
        <w:t xml:space="preserve"> </w:t>
      </w:r>
      <w:r>
        <w:rPr>
          <w:iCs/>
          <w:i/>
        </w:rPr>
        <w:t xml:space="preserve">superpixel</w:t>
      </w:r>
      <w:r>
        <w:t xml:space="preserve"> </w:t>
      </w:r>
      <w:r>
        <w:t xml:space="preserve">pertenezca a cada clase del IIE, asignando el valor con la mayor</w:t>
      </w:r>
      <w:r>
        <w:t xml:space="preserve"> </w:t>
      </w:r>
      <w:r>
        <w:t xml:space="preserve">probabilidad. Se puede predecir el IIE para el periodo y territorio</w:t>
      </w:r>
      <w:r>
        <w:t xml:space="preserve"> </w:t>
      </w:r>
      <w:r>
        <w:t xml:space="preserve">deseado utilizando el modelo entrenado con datos del 2017, mediante las</w:t>
      </w:r>
      <w:r>
        <w:t xml:space="preserve"> </w:t>
      </w:r>
      <w:r>
        <w:t xml:space="preserve">variables.</w:t>
      </w:r>
    </w:p>
    <w:p>
      <w:pPr>
        <w:pStyle w:val="BodyText"/>
      </w:pPr>
      <w:r>
        <w:drawing>
          <wp:inline>
            <wp:extent cx="3733800" cy="281776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data/modelo_flujo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0" w:name="validación"/>
    <w:p>
      <w:pPr>
        <w:pStyle w:val="Heading3"/>
      </w:pPr>
      <w:r>
        <w:t xml:space="preserve">Validación</w:t>
      </w:r>
    </w:p>
    <w:p>
      <w:pPr>
        <w:pStyle w:val="FirstParagraph"/>
      </w:pPr>
      <w:r>
        <w:t xml:space="preserve">La validación del índice de IE se realizó mediante datos externos, que a</w:t>
      </w:r>
      <w:r>
        <w:t xml:space="preserve"> </w:t>
      </w:r>
      <w:r>
        <w:t xml:space="preserve">diferencia de las variables predictoras, provenientes de imágenes</w:t>
      </w:r>
      <w:r>
        <w:t xml:space="preserve"> </w:t>
      </w:r>
      <w:r>
        <w:t xml:space="preserve">satelitales, no tienen amplia cobertura. La validación fue con dos tipos</w:t>
      </w:r>
      <w:r>
        <w:t xml:space="preserve"> </w:t>
      </w:r>
      <w:r>
        <w:t xml:space="preserve">de información: el conocimiento de expertos en el territorio y datos de</w:t>
      </w:r>
      <w:r>
        <w:t xml:space="preserve"> </w:t>
      </w:r>
      <w:r>
        <w:t xml:space="preserve">fauna.</w:t>
      </w:r>
    </w:p>
    <w:bookmarkStart w:id="28" w:name="validación-de-expertos"/>
    <w:p>
      <w:pPr>
        <w:pStyle w:val="Heading4"/>
      </w:pPr>
      <w:r>
        <w:rPr>
          <w:bCs/>
          <w:b/>
        </w:rPr>
        <w:t xml:space="preserve">Validación de expertos</w:t>
      </w:r>
    </w:p>
    <w:p>
      <w:pPr>
        <w:pStyle w:val="FirstParagraph"/>
      </w:pPr>
      <w:r>
        <w:t xml:space="preserve">Se acudió al personal que labora dentro de las áreas naturales</w:t>
      </w:r>
      <w:r>
        <w:t xml:space="preserve"> </w:t>
      </w:r>
      <w:r>
        <w:t xml:space="preserve">protegidas (AP), quienes cuentan con conocimiento del estado del</w:t>
      </w:r>
      <w:r>
        <w:t xml:space="preserve"> </w:t>
      </w:r>
      <w:r>
        <w:t xml:space="preserve">territorio conservado. Se elaboró un cuestionario, donde cada uno de los</w:t>
      </w:r>
      <w:r>
        <w:t xml:space="preserve"> </w:t>
      </w:r>
      <w:r>
        <w:t xml:space="preserve">expertos marcó sobre un mapa el estado en el que considera se encuentra</w:t>
      </w:r>
      <w:r>
        <w:t xml:space="preserve"> </w:t>
      </w:r>
      <w:r>
        <w:t xml:space="preserve">el territorio del que él o ella tenga conocimiento, esto se realizó</w:t>
      </w:r>
      <w:r>
        <w:t xml:space="preserve"> </w:t>
      </w:r>
      <w:r>
        <w:t xml:space="preserve">eligiendo una de cuatro categorías en celdas de 1 km x 1 km de una</w:t>
      </w:r>
      <w:r>
        <w:t xml:space="preserve"> </w:t>
      </w:r>
      <w:r>
        <w:t xml:space="preserve">rejilla sobre el mapa. Las categorías son:</w:t>
      </w:r>
    </w:p>
    <w:p>
      <w:pPr>
        <w:numPr>
          <w:ilvl w:val="0"/>
          <w:numId w:val="1001"/>
        </w:numPr>
      </w:pPr>
      <w:r>
        <w:t xml:space="preserve">IE Alta: Celda sin indicios de impacto humano aparente, dominio de</w:t>
      </w:r>
      <w:r>
        <w:t xml:space="preserve"> </w:t>
      </w:r>
      <w:r>
        <w:t xml:space="preserve">bosques o selvas maduros (+50 años), habitan la mayoría de las</w:t>
      </w:r>
      <w:r>
        <w:t xml:space="preserve"> </w:t>
      </w:r>
      <w:r>
        <w:t xml:space="preserve">especies de mamíferos silvestres de gran tamaño (+10 kg), y aves</w:t>
      </w:r>
      <w:r>
        <w:t xml:space="preserve"> </w:t>
      </w:r>
      <w:r>
        <w:t xml:space="preserve">terrestres (+1 kg) y/o dominan especies en alguna categoría de</w:t>
      </w:r>
      <w:r>
        <w:t xml:space="preserve"> </w:t>
      </w:r>
      <w:r>
        <w:t xml:space="preserve">riesgo/endémicas. Sin indicios de fauna exótica (vacas, perros,</w:t>
      </w:r>
      <w:r>
        <w:t xml:space="preserve"> </w:t>
      </w:r>
      <w:r>
        <w:t xml:space="preserve">gatos, ovejas y cabras).</w:t>
      </w:r>
    </w:p>
    <w:p>
      <w:pPr>
        <w:numPr>
          <w:ilvl w:val="0"/>
          <w:numId w:val="1001"/>
        </w:numPr>
      </w:pPr>
      <w:r>
        <w:t xml:space="preserve">IE Media: Celda con impacto humano moderado, vegetación secundaria</w:t>
      </w:r>
      <w:r>
        <w:t xml:space="preserve"> </w:t>
      </w:r>
      <w:r>
        <w:t xml:space="preserve">dominante, con alta posibilidad de recuperación y restauración de la</w:t>
      </w:r>
      <w:r>
        <w:t xml:space="preserve"> </w:t>
      </w:r>
      <w:r>
        <w:t xml:space="preserve">cobertura vegetal. Menor número de especies de mamíferos de gran</w:t>
      </w:r>
      <w:r>
        <w:t xml:space="preserve"> </w:t>
      </w:r>
      <w:r>
        <w:t xml:space="preserve">tamaño (+10kg) y de aves terrestres (+ 1 kg) al esperado en</w:t>
      </w:r>
      <w:r>
        <w:t xml:space="preserve"> </w:t>
      </w:r>
      <w:r>
        <w:t xml:space="preserve">condición prístina, o menor incidencia de cada especie. Sin</w:t>
      </w:r>
      <w:r>
        <w:t xml:space="preserve"> </w:t>
      </w:r>
      <w:r>
        <w:t xml:space="preserve">agricultura o con escasa presencia de milpas, sin plantaciones</w:t>
      </w:r>
      <w:r>
        <w:t xml:space="preserve"> </w:t>
      </w:r>
      <w:r>
        <w:t xml:space="preserve">forestales. Incidencia moderada de especies de flora y fauna</w:t>
      </w:r>
      <w:r>
        <w:t xml:space="preserve"> </w:t>
      </w:r>
      <w:r>
        <w:t xml:space="preserve">exótica.</w:t>
      </w:r>
    </w:p>
    <w:p>
      <w:pPr>
        <w:numPr>
          <w:ilvl w:val="0"/>
          <w:numId w:val="1001"/>
        </w:numPr>
      </w:pPr>
      <w:r>
        <w:t xml:space="preserve">IE Baja: Celda con impacto humano evidente, sin capacidad de</w:t>
      </w:r>
      <w:r>
        <w:t xml:space="preserve"> </w:t>
      </w:r>
      <w:r>
        <w:t xml:space="preserve">recuperación de la cobertura vegetal original, presencia de</w:t>
      </w:r>
      <w:r>
        <w:t xml:space="preserve"> </w:t>
      </w:r>
      <w:r>
        <w:t xml:space="preserve">monocultivos, el suelo no está severamente erosionado (ej.</w:t>
      </w:r>
      <w:r>
        <w:t xml:space="preserve"> </w:t>
      </w:r>
      <w:r>
        <w:t xml:space="preserve">acahuales). Cercanía zonas urbanas o hay escasos asentamientos</w:t>
      </w:r>
      <w:r>
        <w:t xml:space="preserve"> </w:t>
      </w:r>
      <w:r>
        <w:t xml:space="preserve">humanos (dispersos). Dominancia de especies de flora y fauna</w:t>
      </w:r>
      <w:r>
        <w:t xml:space="preserve"> </w:t>
      </w:r>
      <w:r>
        <w:t xml:space="preserve">exótica.</w:t>
      </w:r>
    </w:p>
    <w:p>
      <w:pPr>
        <w:numPr>
          <w:ilvl w:val="0"/>
          <w:numId w:val="1001"/>
        </w:numPr>
      </w:pPr>
      <w:r>
        <w:t xml:space="preserve">IE Muy Baja: Celda dominada por impactos humanos, dominancia de</w:t>
      </w:r>
      <w:r>
        <w:t xml:space="preserve"> </w:t>
      </w:r>
      <w:r>
        <w:t xml:space="preserve">monocultivos, de asentamientos humanos (rurales o urbano), presencia</w:t>
      </w:r>
      <w:r>
        <w:t xml:space="preserve"> </w:t>
      </w:r>
      <w:r>
        <w:t xml:space="preserve">de minería, dominancia de ganadería intensiva, suelo transformado</w:t>
      </w:r>
      <w:r>
        <w:t xml:space="preserve"> </w:t>
      </w:r>
      <w:r>
        <w:t xml:space="preserve">con respecto al original o erosionado. Dominancia de especies de</w:t>
      </w:r>
      <w:r>
        <w:t xml:space="preserve"> </w:t>
      </w:r>
      <w:r>
        <w:t xml:space="preserve">flora y fauna exótica.</w:t>
      </w:r>
    </w:p>
    <w:p>
      <w:pPr>
        <w:pStyle w:val="FirstParagraph"/>
      </w:pPr>
      <w:r>
        <w:t xml:space="preserve">Previo a responder el cuestionario, se les explicó a los expertos el</w:t>
      </w:r>
      <w:r>
        <w:t xml:space="preserve"> </w:t>
      </w:r>
      <w:r>
        <w:t xml:space="preserve">concepto de IE y cada una de las categorías. Una vez obtenida la</w:t>
      </w:r>
      <w:r>
        <w:t xml:space="preserve"> </w:t>
      </w:r>
      <w:r>
        <w:t xml:space="preserve">respuesta de los expertos, se eligieron las celdas que tuvieron</w:t>
      </w:r>
      <w:r>
        <w:t xml:space="preserve"> </w:t>
      </w:r>
      <w:r>
        <w:t xml:space="preserve">consenso. Se considera que existió consenso si más de la mitad (la mitad</w:t>
      </w:r>
      <w:r>
        <w:t xml:space="preserve"> </w:t>
      </w:r>
      <w:r>
        <w:t xml:space="preserve">más uno, siempre y cuando haya respondido más de un experto)</w:t>
      </w:r>
      <w:r>
        <w:t xml:space="preserve"> </w:t>
      </w:r>
      <w:r>
        <w:t xml:space="preserve">coincidieron en la misma respuesta para una celda (excluyendo a los</w:t>
      </w:r>
      <w:r>
        <w:t xml:space="preserve"> </w:t>
      </w:r>
      <w:r>
        <w:t xml:space="preserve">expertos que no asignaron respuesta a esa celda). Si sólo un experto</w:t>
      </w:r>
      <w:r>
        <w:t xml:space="preserve"> </w:t>
      </w:r>
      <w:r>
        <w:t xml:space="preserve">respondió en alguna AP, ésta será considerada como si hubiera consenso.</w:t>
      </w:r>
    </w:p>
    <w:p>
      <w:pPr>
        <w:pStyle w:val="BodyText"/>
      </w:pPr>
      <w:r>
        <w:t xml:space="preserve">Se calculó en qué proporción coincide las respuestas con consenso de los</w:t>
      </w:r>
      <w:r>
        <w:t xml:space="preserve"> </w:t>
      </w:r>
      <w:r>
        <w:t xml:space="preserve">expertos y el valor del IIE de 2023. Otra manera de comparar estos</w:t>
      </w:r>
      <w:r>
        <w:t xml:space="preserve"> </w:t>
      </w:r>
      <w:r>
        <w:t xml:space="preserve">valores, es fijándonos únicamente en el orden que asignaron los</w:t>
      </w:r>
      <w:r>
        <w:t xml:space="preserve"> </w:t>
      </w:r>
      <w:r>
        <w:t xml:space="preserve">expertos, por ejemplo, si éstos opinaron que el área B de la AP tiene</w:t>
      </w:r>
      <w:r>
        <w:t xml:space="preserve"> </w:t>
      </w:r>
      <w:r>
        <w:t xml:space="preserve">mayor integridad que un área A y menor integridad que un área C, es</w:t>
      </w:r>
      <w:r>
        <w:t xml:space="preserve"> </w:t>
      </w:r>
      <w:r>
        <w:t xml:space="preserve">decir,</w:t>
      </w:r>
      <w:r>
        <w:t xml:space="preserve"> </w:t>
      </w:r>
      <m:oMath>
        <m:r>
          <m:t>I</m:t>
        </m:r>
        <m:sSub>
          <m:e>
            <m:r>
              <m:t>E</m:t>
            </m:r>
          </m:e>
          <m:sub>
            <m:r>
              <m:t>E</m:t>
            </m:r>
            <m:r>
              <m:t>x</m:t>
            </m:r>
            <m:r>
              <m:t>p</m:t>
            </m:r>
            <m:r>
              <m:t>e</m:t>
            </m:r>
            <m:r>
              <m:t>r</m:t>
            </m:r>
            <m:r>
              <m:t>t</m:t>
            </m:r>
            <m:r>
              <m:t>o</m:t>
            </m:r>
            <m:r>
              <m:t>s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&lt;</m:t>
        </m:r>
        <m:r>
          <m:t>I</m:t>
        </m:r>
        <m:sSub>
          <m:e>
            <m:r>
              <m:t>E</m:t>
            </m:r>
          </m:e>
          <m:sub>
            <m:r>
              <m:t>E</m:t>
            </m:r>
            <m:r>
              <m:t>x</m:t>
            </m:r>
            <m:r>
              <m:t>p</m:t>
            </m:r>
            <m:r>
              <m:t>e</m:t>
            </m:r>
            <m:r>
              <m:t>r</m:t>
            </m:r>
            <m:r>
              <m:t>t</m:t>
            </m:r>
            <m:r>
              <m:t>o</m:t>
            </m:r>
            <m:r>
              <m:t>s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&lt;</m:t>
        </m:r>
        <m:r>
          <m:t>I</m:t>
        </m:r>
        <m:sSub>
          <m:e>
            <m:r>
              <m:t>E</m:t>
            </m:r>
          </m:e>
          <m:sub>
            <m:r>
              <m:t>E</m:t>
            </m:r>
            <m:r>
              <m:t>x</m:t>
            </m:r>
            <m:r>
              <m:t>p</m:t>
            </m:r>
            <m:r>
              <m:t>e</m:t>
            </m:r>
            <m:r>
              <m:t>r</m:t>
            </m:r>
            <m:r>
              <m:t>t</m:t>
            </m:r>
            <m:r>
              <m:t>o</m:t>
            </m:r>
            <m:r>
              <m:t>s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, entonces el</w:t>
      </w:r>
      <w:r>
        <w:t xml:space="preserve"> </w:t>
      </w:r>
      <w:r>
        <w:t xml:space="preserve">IIE 2023 debería mantener este mismo orden, para lo cual, comparamos el</w:t>
      </w:r>
      <w:r>
        <w:t xml:space="preserve"> </w:t>
      </w:r>
      <w:r>
        <w:t xml:space="preserve">valor del IIE 2023 de un pixel en B, contra la mediana del IIE 2023 en</w:t>
      </w:r>
      <w:r>
        <w:t xml:space="preserve"> </w:t>
      </w:r>
      <w:r>
        <w:t xml:space="preserve">el área A y B. Si está bien ordenado debe cumplir</w:t>
      </w:r>
      <w:r>
        <w:t xml:space="preserve"> </w:t>
      </w:r>
      <m:oMath>
        <m:r>
          <m:t>m</m:t>
        </m:r>
        <m:r>
          <m:t>e</m:t>
        </m:r>
        <m:r>
          <m:t>d</m:t>
        </m:r>
        <m:r>
          <m:t>i</m:t>
        </m:r>
        <m:r>
          <m:t>a</m:t>
        </m:r>
        <m:r>
          <m:t>n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I</m:t>
            </m:r>
            <m:sSub>
              <m:e>
                <m:r>
                  <m:t>E</m:t>
                </m:r>
              </m:e>
              <m:sub>
                <m:r>
                  <m:t>2023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&lt;</m:t>
        </m:r>
        <m:r>
          <m:t>I</m:t>
        </m:r>
        <m:r>
          <m:t>I</m:t>
        </m:r>
        <m:sSub>
          <m:e>
            <m:r>
              <m:t>E</m:t>
            </m:r>
          </m:e>
          <m:sub>
            <m:r>
              <m:t>2023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i</m:t>
            </m:r>
            <m:r>
              <m:t>x</m:t>
            </m:r>
            <m:r>
              <m:t>e</m:t>
            </m:r>
            <m:r>
              <m:t>l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r>
          <m:t>m</m:t>
        </m:r>
        <m:r>
          <m:t>e</m:t>
        </m:r>
        <m:r>
          <m:t>d</m:t>
        </m:r>
        <m:r>
          <m:t>i</m:t>
        </m:r>
        <m:r>
          <m:t>a</m:t>
        </m:r>
        <m:r>
          <m:t>n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I</m:t>
            </m:r>
            <m:sSub>
              <m:e>
                <m:r>
                  <m:t>E</m:t>
                </m:r>
              </m:e>
              <m:sub>
                <m:r>
                  <m:t>2023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.</w:t>
      </w:r>
    </w:p>
    <w:p>
      <w:pPr>
        <w:pStyle w:val="BodyText"/>
      </w:pPr>
      <w:r>
        <w:t xml:space="preserve">Para ello seguimos los siguientes pasos por cada AP:</w:t>
      </w:r>
    </w:p>
    <w:p>
      <w:pPr>
        <w:numPr>
          <w:ilvl w:val="0"/>
          <w:numId w:val="1002"/>
        </w:numPr>
      </w:pPr>
      <w:r>
        <w:t xml:space="preserve">Dividir la AP en áreas que tengan el mismo valor de la respuesta de</w:t>
      </w:r>
      <w:r>
        <w:t xml:space="preserve"> </w:t>
      </w:r>
      <w:r>
        <w:t xml:space="preserve">expertos con consenso, por ejemplo A, B, C.</w:t>
      </w:r>
    </w:p>
    <w:p>
      <w:pPr>
        <w:numPr>
          <w:ilvl w:val="0"/>
          <w:numId w:val="1002"/>
        </w:numPr>
      </w:pPr>
      <w:r>
        <w:t xml:space="preserve">Ordenar estas áreas de menor degradación a mayor: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sSub>
            <m:e>
              <m:r>
                <m:t>E</m:t>
              </m:r>
            </m:e>
            <m:sub>
              <m:r>
                <m:t>E</m:t>
              </m:r>
              <m:r>
                <m:t>x</m:t>
              </m:r>
              <m:r>
                <m:t>p</m:t>
              </m:r>
              <m:r>
                <m:t>e</m:t>
              </m:r>
              <m:r>
                <m:t>r</m:t>
              </m:r>
              <m:r>
                <m:t>t</m:t>
              </m:r>
              <m:r>
                <m:t>o</m:t>
              </m:r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&lt;</m:t>
          </m:r>
          <m:r>
            <m:t>I</m:t>
          </m:r>
          <m:sSub>
            <m:e>
              <m:r>
                <m:t>E</m:t>
              </m:r>
            </m:e>
            <m:sub>
              <m:r>
                <m:t>E</m:t>
              </m:r>
              <m:r>
                <m:t>x</m:t>
              </m:r>
              <m:r>
                <m:t>p</m:t>
              </m:r>
              <m:r>
                <m:t>e</m:t>
              </m:r>
              <m:r>
                <m:t>r</m:t>
              </m:r>
              <m:r>
                <m:t>t</m:t>
              </m:r>
              <m:r>
                <m:t>o</m:t>
              </m:r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&lt;</m:t>
          </m:r>
          <m:r>
            <m:t>I</m:t>
          </m:r>
          <m:sSub>
            <m:e>
              <m:r>
                <m:t>E</m:t>
              </m:r>
            </m:e>
            <m:sub>
              <m:r>
                <m:t>E</m:t>
              </m:r>
              <m:r>
                <m:t>x</m:t>
              </m:r>
              <m:r>
                <m:t>p</m:t>
              </m:r>
              <m:r>
                <m:t>e</m:t>
              </m:r>
              <m:r>
                <m:t>r</m:t>
              </m:r>
              <m:r>
                <m:t>t</m:t>
              </m:r>
              <m:r>
                <m:t>o</m:t>
              </m:r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</m:oMath>
      </m:oMathPara>
    </w:p>
    <w:p>
      <w:pPr>
        <w:numPr>
          <w:ilvl w:val="0"/>
          <w:numId w:val="1000"/>
        </w:numPr>
      </w:pPr>
      <w:r>
        <w:t xml:space="preserve">.</w:t>
      </w:r>
    </w:p>
    <w:p>
      <w:pPr>
        <w:numPr>
          <w:ilvl w:val="0"/>
          <w:numId w:val="1002"/>
        </w:numPr>
      </w:pPr>
      <w:r>
        <w:t xml:space="preserve">Calcular la mediana del IIE 2023 por área:</w:t>
      </w:r>
    </w:p>
    <w:p>
      <w:pPr>
        <w:numPr>
          <w:ilvl w:val="0"/>
          <w:numId w:val="1000"/>
        </w:numPr>
      </w:pPr>
      <m:oMath>
        <m:r>
          <m:t>m</m:t>
        </m:r>
        <m:r>
          <m:t>e</m:t>
        </m:r>
        <m:r>
          <m:t>d</m:t>
        </m:r>
        <m:r>
          <m:t>i</m:t>
        </m:r>
        <m:r>
          <m:t>a</m:t>
        </m:r>
        <m:r>
          <m:t>n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I</m:t>
            </m:r>
            <m:sSub>
              <m:e>
                <m:r>
                  <m:t>E</m:t>
                </m:r>
              </m:e>
              <m:sub>
                <m:r>
                  <m:t>2023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m</m:t>
        </m:r>
        <m:r>
          <m:t>e</m:t>
        </m:r>
        <m:r>
          <m:t>d</m:t>
        </m:r>
        <m:r>
          <m:t>i</m:t>
        </m:r>
        <m:r>
          <m:t>a</m:t>
        </m:r>
        <m:r>
          <m:t>n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I</m:t>
            </m:r>
            <m:sSub>
              <m:e>
                <m:r>
                  <m:t>E</m:t>
                </m:r>
              </m:e>
              <m:sub>
                <m:r>
                  <m:t>2023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y</w:t>
      </w:r>
      <w:r>
        <w:t xml:space="preserve"> </w:t>
      </w:r>
      <m:oMath>
        <m:r>
          <m:t>m</m:t>
        </m:r>
        <m:r>
          <m:t>e</m:t>
        </m:r>
        <m:r>
          <m:t>d</m:t>
        </m:r>
        <m:r>
          <m:t>i</m:t>
        </m:r>
        <m:r>
          <m:t>a</m:t>
        </m:r>
        <m:r>
          <m:t>n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I</m:t>
            </m:r>
            <m:sSub>
              <m:e>
                <m:r>
                  <m:t>E</m:t>
                </m:r>
              </m:e>
              <m:sub>
                <m:r>
                  <m:t>2023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Para cada pixel i perteneciente al área B, si su valor de IIE 2023</w:t>
      </w:r>
      <w:r>
        <w:t xml:space="preserve"> </w:t>
      </w:r>
      <w:r>
        <w:t xml:space="preserve">es menor a la mediana del IIE 2023 del área C y mayor a la del área</w:t>
      </w:r>
      <w:r>
        <w:t xml:space="preserve"> </w:t>
      </w:r>
      <w:r>
        <w:t xml:space="preserve">A, decimos que está ordenado de manera correcta: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m</m:t>
                    </m:r>
                    <m:r>
                      <m:t>e</m:t>
                    </m:r>
                    <m:r>
                      <m:t>d</m:t>
                    </m:r>
                    <m:r>
                      <m:t>i</m:t>
                    </m:r>
                    <m:r>
                      <m:t>a</m:t>
                    </m:r>
                    <m:r>
                      <m:t>n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I</m:t>
                        </m:r>
                        <m:r>
                          <m:t>I</m:t>
                        </m:r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2023</m:t>
                            </m:r>
                          </m:sub>
                        </m:sSub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&lt;</m:t>
                    </m:r>
                    <m:r>
                      <m:t>I</m:t>
                    </m:r>
                    <m:r>
                      <m:t>I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2023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m:t>&lt;</m:t>
                    </m:r>
                    <m:r>
                      <m:rPr>
                        <m:sty m:val="p"/>
                      </m:rPr>
                      <m:t>=</m:t>
                    </m:r>
                    <m:r>
                      <m:t>m</m:t>
                    </m:r>
                    <m:r>
                      <m:t>e</m:t>
                    </m:r>
                    <m:r>
                      <m:t>d</m:t>
                    </m:r>
                    <m:r>
                      <m:t>i</m:t>
                    </m:r>
                    <m:r>
                      <m:t>a</m:t>
                    </m:r>
                    <m:r>
                      <m:t>n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I</m:t>
                        </m:r>
                        <m:r>
                          <m:t>I</m:t>
                        </m:r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2023</m:t>
                            </m:r>
                          </m:sub>
                        </m:sSub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</m:e>
                    </m: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e</m:t>
                    </m:r>
                    <m:r>
                      <m:t>o</m:t>
                    </m:r>
                    <m:r>
                      <m:t>c</m:t>
                    </m:r>
                  </m:e>
                </m:mr>
              </m:m>
            </m:e>
          </m:d>
        </m:oMath>
      </m:oMathPara>
    </w:p>
    <w:bookmarkEnd w:id="28"/>
    <w:bookmarkStart w:id="29" w:name="validación-mediante-datos-de-fauna"/>
    <w:p>
      <w:pPr>
        <w:pStyle w:val="Heading4"/>
      </w:pPr>
      <w:r>
        <w:rPr>
          <w:bCs/>
          <w:b/>
        </w:rPr>
        <w:t xml:space="preserve">Validación mediante datos de Fauna</w:t>
      </w:r>
    </w:p>
    <w:p>
      <w:pPr>
        <w:pStyle w:val="FirstParagraph"/>
      </w:pPr>
      <w:r>
        <w:t xml:space="preserve">La fauna tiene diferentes características que los hacen más o menos</w:t>
      </w:r>
      <w:r>
        <w:t xml:space="preserve"> </w:t>
      </w:r>
      <w:r>
        <w:t xml:space="preserve">vulnerables al mismo tiempo pueden ser indicadores de la salud del</w:t>
      </w:r>
      <w:r>
        <w:t xml:space="preserve"> </w:t>
      </w:r>
      <w:r>
        <w:t xml:space="preserve">ecosistema, debido al impacto que su biomasa causa sobre la remoción de</w:t>
      </w:r>
      <w:r>
        <w:t xml:space="preserve"> </w:t>
      </w:r>
      <w:r>
        <w:t xml:space="preserve">nutrientes y uso de recursos, o al papel que juega en el ecosistema. Es</w:t>
      </w:r>
      <w:r>
        <w:t xml:space="preserve"> </w:t>
      </w:r>
      <w:r>
        <w:t xml:space="preserve">por ello que datos de fauna fueron utilizados para la validación del</w:t>
      </w:r>
      <w:r>
        <w:t xml:space="preserve"> </w:t>
      </w:r>
      <w:r>
        <w:t xml:space="preserve">IIE, estos provienen de dos fuentes: registros del SNIB (Sistema</w:t>
      </w:r>
      <w:r>
        <w:t xml:space="preserve"> </w:t>
      </w:r>
      <w:r>
        <w:t xml:space="preserve">Nacional de Información sobre Biodiversidad de México) y de fototrampas</w:t>
      </w:r>
      <w:r>
        <w:t xml:space="preserve"> </w:t>
      </w:r>
      <w:r>
        <w:t xml:space="preserve">de SiPeCaM (Sitios Permanentes de Calibración y Monitoreo de la</w:t>
      </w:r>
      <w:r>
        <w:t xml:space="preserve"> </w:t>
      </w:r>
      <w:r>
        <w:t xml:space="preserve">Biodiversidad).</w:t>
      </w:r>
    </w:p>
    <w:p>
      <w:pPr>
        <w:pStyle w:val="BodyText"/>
      </w:pPr>
      <w:r>
        <w:t xml:space="preserve">De acuerdo a la vulnerabilidad a la cacería y exposición al humano, se</w:t>
      </w:r>
      <w:r>
        <w:t xml:space="preserve"> </w:t>
      </w:r>
      <w:r>
        <w:t xml:space="preserve">seleccionó un conjunto de registros provenientes del SNIB de mamíferos y</w:t>
      </w:r>
      <w:r>
        <w:t xml:space="preserve"> </w:t>
      </w:r>
      <w:r>
        <w:t xml:space="preserve">aves de talla grande para la validación de clases altas de IIE, los</w:t>
      </w:r>
      <w:r>
        <w:t xml:space="preserve"> </w:t>
      </w:r>
      <w:r>
        <w:t xml:space="preserve">cuales incluyeron:</w:t>
      </w:r>
      <w:r>
        <w:t xml:space="preserve"> </w:t>
      </w:r>
      <w:r>
        <w:rPr>
          <w:iCs/>
          <w:i/>
        </w:rPr>
        <w:t xml:space="preserve">Canis latrans, Canis lupus, Caracara plancus,</w:t>
      </w:r>
      <w:r>
        <w:rPr>
          <w:iCs/>
          <w:i/>
        </w:rPr>
        <w:t xml:space="preserve"> </w:t>
      </w:r>
      <w:r>
        <w:rPr>
          <w:iCs/>
          <w:i/>
        </w:rPr>
        <w:t xml:space="preserve">Cathartes aura, Coragyps atratus, Dicotyles tajacu, Leopardus pardalis,</w:t>
      </w:r>
      <w:r>
        <w:rPr>
          <w:iCs/>
          <w:i/>
        </w:rPr>
        <w:t xml:space="preserve"> </w:t>
      </w:r>
      <w:r>
        <w:rPr>
          <w:iCs/>
          <w:i/>
        </w:rPr>
        <w:t xml:space="preserve">Lontra longicaudis, Lynx rufus, Meleagris gallopavo, Odocoileus</w:t>
      </w:r>
      <w:r>
        <w:rPr>
          <w:iCs/>
          <w:i/>
        </w:rPr>
        <w:t xml:space="preserve"> </w:t>
      </w:r>
      <w:r>
        <w:rPr>
          <w:iCs/>
          <w:i/>
        </w:rPr>
        <w:t xml:space="preserve">virginianus, Puma concolor</w:t>
      </w:r>
      <w:r>
        <w:t xml:space="preserve">.</w:t>
      </w:r>
    </w:p>
    <w:p>
      <w:pPr>
        <w:pStyle w:val="BodyText"/>
      </w:pPr>
      <w:r>
        <w:t xml:space="preserve">Por su parte, la incidencia de ganadería se utilizó para la evaluación</w:t>
      </w:r>
      <w:r>
        <w:t xml:space="preserve"> </w:t>
      </w:r>
      <w:r>
        <w:t xml:space="preserve">de IE baja y muy baja.</w:t>
      </w:r>
    </w:p>
    <w:p>
      <w:pPr>
        <w:pStyle w:val="BodyText"/>
      </w:pPr>
      <w:r>
        <w:t xml:space="preserve">Por otro lado, se cuenta con observaciones de especies derivado del</w:t>
      </w:r>
      <w:r>
        <w:t xml:space="preserve"> </w:t>
      </w:r>
      <w:r>
        <w:t xml:space="preserve">monitoreo con fototrampas de SiPeCaM. Los datos fueron recabados</w:t>
      </w:r>
      <w:r>
        <w:t xml:space="preserve"> </w:t>
      </w:r>
      <w:r>
        <w:t xml:space="preserve">siguiendo un diseño de muestreo, donde se colocaron las cámaras en</w:t>
      </w:r>
      <w:r>
        <w:t xml:space="preserve"> </w:t>
      </w:r>
      <w:r>
        <w:t xml:space="preserve">unidades que cuentan con las mismas características bioclimáticas, con</w:t>
      </w:r>
      <w:r>
        <w:t xml:space="preserve"> </w:t>
      </w:r>
      <w:r>
        <w:t xml:space="preserve">la diferencia que algunas zonas son íntegras y otras degradadas. Por lo</w:t>
      </w:r>
      <w:r>
        <w:t xml:space="preserve"> </w:t>
      </w:r>
      <w:r>
        <w:t xml:space="preserve">que se pudo llevar a cabo pruebas estadísticas para saber si cierta</w:t>
      </w:r>
      <w:r>
        <w:t xml:space="preserve"> </w:t>
      </w:r>
      <w:r>
        <w:t xml:space="preserve">especie fue observada con mayor frecuencia en zonas íntegras o</w:t>
      </w:r>
      <w:r>
        <w:t xml:space="preserve"> </w:t>
      </w:r>
      <w:r>
        <w:t xml:space="preserve">degradadas, validando el IIE. Con estos datos se tiene una</w:t>
      </w:r>
      <w:r>
        <w:t xml:space="preserve"> </w:t>
      </w:r>
      <w:r>
        <w:t xml:space="preserve">representatividad de en al menos 3 de los 7 ecosistemas del país.</w:t>
      </w:r>
    </w:p>
    <w:bookmarkEnd w:id="29"/>
    <w:bookmarkEnd w:id="30"/>
    <w:bookmarkEnd w:id="31"/>
    <w:bookmarkStart w:id="58" w:name="resultados"/>
    <w:p>
      <w:pPr>
        <w:pStyle w:val="Heading2"/>
      </w:pPr>
      <w:r>
        <w:t xml:space="preserve">Resultados</w:t>
      </w:r>
    </w:p>
    <w:bookmarkStart w:id="43" w:name="validación-1"/>
    <w:p>
      <w:pPr>
        <w:pStyle w:val="Heading3"/>
      </w:pPr>
      <w:r>
        <w:t xml:space="preserve">Validación</w:t>
      </w:r>
    </w:p>
    <w:bookmarkStart w:id="35" w:name="validación-de-expertos-1"/>
    <w:p>
      <w:pPr>
        <w:pStyle w:val="Heading4"/>
      </w:pPr>
      <w:r>
        <w:rPr>
          <w:bCs/>
          <w:b/>
        </w:rPr>
        <w:t xml:space="preserve">Validación de expertos</w:t>
      </w:r>
    </w:p>
    <w:p>
      <w:pPr>
        <w:pStyle w:val="FirstParagraph"/>
      </w:pPr>
      <w:r>
        <w:t xml:space="preserve">Se realizó el cuestionario a 41 expertos, abarcando 19 AP, con un</w:t>
      </w:r>
      <w:r>
        <w:t xml:space="preserve"> </w:t>
      </w:r>
      <w:r>
        <w:t xml:space="preserve">promedio de 2.2 (DE=1.1) expertos por cada AP.</w:t>
      </w:r>
    </w:p>
    <w:p>
      <w:pPr>
        <w:pStyle w:val="BodyText"/>
      </w:pPr>
      <w:r>
        <w:t xml:space="preserve">El 57.6% de las celdas donde hubo dos o más respuestas tuvieron</w:t>
      </w:r>
      <w:r>
        <w:t xml:space="preserve"> </w:t>
      </w:r>
      <w:r>
        <w:t xml:space="preserve">consenso. El mapa de consenso, conformado por las celdas que tuvieron</w:t>
      </w:r>
      <w:r>
        <w:t xml:space="preserve"> </w:t>
      </w:r>
      <w:r>
        <w:t xml:space="preserve">consenso y por aquellas que pertenecen a una AP donde sólo participó un</w:t>
      </w:r>
      <w:r>
        <w:t xml:space="preserve"> </w:t>
      </w:r>
      <w:r>
        <w:t xml:space="preserve">experto, es el 69.7% del área total que abarcó el cuestionario y</w:t>
      </w:r>
      <w:r>
        <w:t xml:space="preserve"> </w:t>
      </w:r>
      <w:r>
        <w:t xml:space="preserve">corresponde al 0.33% del total del territorio que abarca el IIE.</w:t>
      </w:r>
    </w:p>
    <w:p>
      <w:pPr>
        <w:pStyle w:val="BodyText"/>
      </w:pPr>
      <w:r>
        <w:t xml:space="preserve">Del total de celdas con consenso, el 30.25% coinciden con el valor del</w:t>
      </w:r>
      <w:r>
        <w:t xml:space="preserve"> </w:t>
      </w:r>
      <w:r>
        <w:t xml:space="preserve">IIE. De las que no coinciden, en el 91.0% los expertos asignaron mayor</w:t>
      </w:r>
      <w:r>
        <w:t xml:space="preserve"> </w:t>
      </w:r>
      <w:r>
        <w:t xml:space="preserve">degradación de la que se predice con el IIE. Al respecto, uno de los</w:t>
      </w:r>
      <w:r>
        <w:t xml:space="preserve"> </w:t>
      </w:r>
      <w:r>
        <w:t xml:space="preserve">resultados que sobresalen es que, a pesar del alto impacto humano en el</w:t>
      </w:r>
      <w:r>
        <w:t xml:space="preserve"> </w:t>
      </w:r>
      <w:r>
        <w:t xml:space="preserve">centro del país, el 57.6% del IIE 2023 tiene valores de Integridad Alta</w:t>
      </w:r>
      <w:r>
        <w:t xml:space="preserve"> </w:t>
      </w:r>
      <w:r>
        <w:t xml:space="preserve">en el territorio que abarca el mapa de consenso, en contraste, sólo el</w:t>
      </w:r>
      <w:r>
        <w:t xml:space="preserve"> </w:t>
      </w:r>
      <w:r>
        <w:t xml:space="preserve">11.4% presentó Integridad Alta de acuerdo a los expertos.</w:t>
      </w:r>
    </w:p>
    <w:p>
      <w:pPr>
        <w:pStyle w:val="BodyText"/>
      </w:pPr>
      <w:r>
        <w:t xml:space="preserve">En la siguiente imagen podemos observar la distribución de las</w:t>
      </w:r>
      <w:r>
        <w:t xml:space="preserve"> </w:t>
      </w:r>
      <w:r>
        <w:t xml:space="preserve">respuestas con consenso de cada categoría del IIE. Como podemos ver en</w:t>
      </w:r>
      <w:r>
        <w:t xml:space="preserve"> </w:t>
      </w:r>
      <w:r>
        <w:t xml:space="preserve">la categoría IE Alta es donde existe una mayor discrepancia con las</w:t>
      </w:r>
      <w:r>
        <w:t xml:space="preserve"> </w:t>
      </w:r>
      <w:r>
        <w:t xml:space="preserve">respuestas de los expertos, pues estos consideraron que solo el 16% de</w:t>
      </w:r>
      <w:r>
        <w:t xml:space="preserve"> </w:t>
      </w:r>
      <w:r>
        <w:t xml:space="preserve">las celdas con IIE 2023 con valor IE Alta tienen realmente este valor,</w:t>
      </w:r>
      <w:r>
        <w:t xml:space="preserve"> </w:t>
      </w:r>
      <w:r>
        <w:t xml:space="preserve">más bien, creen que la mayoría de estas celdas (60%) tienen un valor de</w:t>
      </w:r>
      <w:r>
        <w:t xml:space="preserve"> </w:t>
      </w:r>
      <w:r>
        <w:t xml:space="preserve">IE Media. Esto podría explicarse por la subjetividad del cuestionario,</w:t>
      </w:r>
      <w:r>
        <w:t xml:space="preserve"> </w:t>
      </w:r>
      <w:r>
        <w:t xml:space="preserve">pues un experto puede dudar en que cualquier zona tenga IE Alta y</w:t>
      </w:r>
      <w:r>
        <w:t xml:space="preserve"> </w:t>
      </w:r>
      <w:r>
        <w:t xml:space="preserve">prefiere reservarse diciendo que tiene IE Media. El 29.3% de expertos no</w:t>
      </w:r>
      <w:r>
        <w:t xml:space="preserve"> </w:t>
      </w:r>
      <w:r>
        <w:t xml:space="preserve">consideraron que existan zonas con Integridad Alta dentro de la AP en la</w:t>
      </w:r>
      <w:r>
        <w:t xml:space="preserve"> </w:t>
      </w:r>
      <w:r>
        <w:t xml:space="preserve">que laboran, lo cual es poco probable, ya que son zonas protegidas.</w:t>
      </w:r>
    </w:p>
    <w:p>
      <w:pPr>
        <w:pStyle w:val="BodyText"/>
      </w:pPr>
      <w:r>
        <w:drawing>
          <wp:inline>
            <wp:extent cx="2771775" cy="247987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/tabla_contingencia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47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Cuando dividimos por AP, se tuvo una coincidencia promedio de 36.0%</w:t>
      </w:r>
      <w:r>
        <w:t xml:space="preserve"> </w:t>
      </w:r>
      <w:r>
        <w:t xml:space="preserve">(DE=26.9%). Las AP con mayor coincidencia entre el consenso de expertos</w:t>
      </w:r>
      <w:r>
        <w:t xml:space="preserve"> </w:t>
      </w:r>
      <w:r>
        <w:t xml:space="preserve">y el IIE 2023, fueron la Laguna de Zempoala (100%), Cumbres de Ajusco</w:t>
      </w:r>
      <w:r>
        <w:t xml:space="preserve"> </w:t>
      </w:r>
      <w:r>
        <w:t xml:space="preserve">(68.9%), Insurgentes Miguel Hidalgo y Costilla (66.7%), y El Veladero</w:t>
      </w:r>
      <w:r>
        <w:t xml:space="preserve"> </w:t>
      </w:r>
      <w:r>
        <w:t xml:space="preserve">(55.6%). Y las AP con menor coincidencia fueron Grutas de Cacahuamilpa,</w:t>
      </w:r>
      <w:r>
        <w:t xml:space="preserve"> </w:t>
      </w:r>
      <w:r>
        <w:t xml:space="preserve">Desierto de los Leones y El Chico, donde no hubo coincidencias y</w:t>
      </w:r>
      <w:r>
        <w:t xml:space="preserve"> </w:t>
      </w:r>
      <w:r>
        <w:t xml:space="preserve">Mariposa Monarca con 3.5%.</w:t>
      </w:r>
    </w:p>
    <w:p>
      <w:pPr>
        <w:pStyle w:val="BodyText"/>
      </w:pPr>
      <w:r>
        <w:t xml:space="preserve">En cuanto a la comparación del orden de las categorías, el 39.36% del</w:t>
      </w:r>
      <w:r>
        <w:t xml:space="preserve"> </w:t>
      </w:r>
      <w:r>
        <w:t xml:space="preserve">total coinciden en el orden del IIE 2023 y las respuestas con consenso</w:t>
      </w:r>
      <w:r>
        <w:t xml:space="preserve"> </w:t>
      </w:r>
      <w:r>
        <w:t xml:space="preserve">de expertos. Considerando por AP, en promedio tuvieron una coincidencia</w:t>
      </w:r>
      <w:r>
        <w:t xml:space="preserve"> </w:t>
      </w:r>
      <w:r>
        <w:t xml:space="preserve">en el orden del 53.4% (DE=23.8%), siendo las de mayor coincidencia</w:t>
      </w:r>
      <w:r>
        <w:t xml:space="preserve"> </w:t>
      </w:r>
      <w:r>
        <w:t xml:space="preserve">Barranca de Metztitlán (92.4%), La Montaña Malinche o Matlalcuéyatl</w:t>
      </w:r>
      <w:r>
        <w:t xml:space="preserve"> </w:t>
      </w:r>
      <w:r>
        <w:t xml:space="preserve">(88.7%), El Veladero (76.3%) y Lagunas de Zempoala (75.2%). Las de menor</w:t>
      </w:r>
      <w:r>
        <w:t xml:space="preserve"> </w:t>
      </w:r>
      <w:r>
        <w:t xml:space="preserve">coincidencia fueron Sierra Gorda de Guanajuato (12.9%), Sierra de</w:t>
      </w:r>
      <w:r>
        <w:t xml:space="preserve"> </w:t>
      </w:r>
      <w:r>
        <w:t xml:space="preserve">Huautla (18.7%), Mariposa Monarca (22.7%) e Iztaccíhuatl-Popocatépetl</w:t>
      </w:r>
      <w:r>
        <w:t xml:space="preserve"> </w:t>
      </w:r>
      <w:r>
        <w:t xml:space="preserve">(32.6%).</w:t>
      </w:r>
    </w:p>
    <w:p>
      <w:pPr>
        <w:pStyle w:val="BodyText"/>
      </w:pPr>
      <w:r>
        <w:t xml:space="preserve">Si los expertos están en lo correcto parecería que el modelo de IIE</w:t>
      </w:r>
      <w:r>
        <w:t xml:space="preserve"> </w:t>
      </w:r>
      <w:r>
        <w:t xml:space="preserve">tiende a sobrestimar la Integridad de los Ecosistemas en la categoría de</w:t>
      </w:r>
      <w:r>
        <w:t xml:space="preserve"> </w:t>
      </w:r>
      <w:r>
        <w:t xml:space="preserve">IE Alta, pues los expertos consideran que en estas zonas la IE es menor,</w:t>
      </w:r>
      <w:r>
        <w:t xml:space="preserve"> </w:t>
      </w:r>
      <w:r>
        <w:t xml:space="preserve">en su mayoría IE Media.</w:t>
      </w:r>
    </w:p>
    <w:bookmarkEnd w:id="35"/>
    <w:bookmarkStart w:id="42" w:name="validación-mediante-datos-de-fauna-1"/>
    <w:p>
      <w:pPr>
        <w:pStyle w:val="Heading4"/>
      </w:pPr>
      <w:r>
        <w:rPr>
          <w:bCs/>
          <w:b/>
        </w:rPr>
        <w:t xml:space="preserve">Validación mediante datos de Fauna</w:t>
      </w:r>
    </w:p>
    <w:p>
      <w:pPr>
        <w:pStyle w:val="FirstParagraph"/>
      </w:pPr>
      <w:r>
        <w:t xml:space="preserve">Los resultados de los datos obtenidos del SNIB de observaciones de</w:t>
      </w:r>
      <w:r>
        <w:t xml:space="preserve"> </w:t>
      </w:r>
      <w:r>
        <w:t xml:space="preserve">mamíferos y aves de talla grande se pueden ver en la siguiente gráfica,</w:t>
      </w:r>
      <w:r>
        <w:t xml:space="preserve"> </w:t>
      </w:r>
      <w:r>
        <w:t xml:space="preserve">la cual muestra que estas especies se encuentran en mayor proporción en</w:t>
      </w:r>
      <w:r>
        <w:t xml:space="preserve"> </w:t>
      </w:r>
      <w:r>
        <w:t xml:space="preserve">áreas Integras de acuerdo al IIE 2023, ya sea en áreas con IE Alta o IE</w:t>
      </w:r>
      <w:r>
        <w:t xml:space="preserve"> </w:t>
      </w:r>
      <w:r>
        <w:t xml:space="preserve">Media, a excepción del</w:t>
      </w:r>
      <w:r>
        <w:t xml:space="preserve"> </w:t>
      </w:r>
      <w:r>
        <w:rPr>
          <w:iCs/>
          <w:i/>
        </w:rPr>
        <w:t xml:space="preserve">Meleagris gallopavo.</w:t>
      </w:r>
    </w:p>
    <w:p>
      <w:pPr>
        <w:pStyle w:val="BodyText"/>
      </w:pPr>
      <w:r>
        <w:drawing>
          <wp:inline>
            <wp:extent cx="5076825" cy="2710074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ata/snib_vs_ie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10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Los datos de SiPeCaM, procesados hasta el momento, muestran que las</w:t>
      </w:r>
      <w:r>
        <w:t xml:space="preserve"> </w:t>
      </w:r>
      <w:r>
        <w:t xml:space="preserve">especies</w:t>
      </w:r>
      <w:r>
        <w:t xml:space="preserve"> </w:t>
      </w:r>
      <w:r>
        <w:rPr>
          <w:iCs/>
          <w:i/>
        </w:rPr>
        <w:t xml:space="preserve">Leopardus pardalis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Panthera onca</w:t>
      </w:r>
      <w:r>
        <w:t xml:space="preserve"> </w:t>
      </w:r>
      <w:r>
        <w:t xml:space="preserve">se encuentran con mayor</w:t>
      </w:r>
      <w:r>
        <w:t xml:space="preserve"> </w:t>
      </w:r>
      <w:r>
        <w:t xml:space="preserve">frecuencia, de manera estadísticamente significativa, en zonas donde el</w:t>
      </w:r>
      <w:r>
        <w:t xml:space="preserve"> </w:t>
      </w:r>
      <w:r>
        <w:t xml:space="preserve">IIE 2023 tiene un valor de Integridad Alta, lo cual es válido para estas</w:t>
      </w:r>
      <w:r>
        <w:t xml:space="preserve"> </w:t>
      </w:r>
      <w:r>
        <w:t xml:space="preserve">especies. Por otra parte, aunque no existe significancia estadísitica</w:t>
      </w:r>
      <w:r>
        <w:t xml:space="preserve"> </w:t>
      </w:r>
      <w:r>
        <w:t xml:space="preserve">hay evidencia de que el Procyon lotor se observó en áreas donde IIE 2023</w:t>
      </w:r>
      <w:r>
        <w:t xml:space="preserve"> </w:t>
      </w:r>
      <w:r>
        <w:t xml:space="preserve">muestra degradación, lo cual se esperaría de esta especie.</w:t>
      </w:r>
    </w:p>
    <w:p>
      <w:pPr>
        <w:pStyle w:val="BodyText"/>
      </w:pPr>
      <w:r>
        <w:drawing>
          <wp:inline>
            <wp:extent cx="5334000" cy="3295367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ata/sipecam_diff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53" w:name="iie"/>
    <w:p>
      <w:pPr>
        <w:pStyle w:val="Heading3"/>
      </w:pPr>
      <w:r>
        <w:t xml:space="preserve">IIE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E_files/figure-docx/ie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E_files/figure-docx/ie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E_files/figure-docx/ie_bar_char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7" w:name="cambio-en-el-iie"/>
    <w:p>
      <w:pPr>
        <w:pStyle w:val="Heading3"/>
      </w:pPr>
      <w:r>
        <w:rPr>
          <w:bCs/>
          <w:b/>
        </w:rPr>
        <w:t xml:space="preserve">Cambio en el IIE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E_files/figure-docx/ie_diff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bookmarkStart w:id="71" w:name="referencias"/>
    <w:p>
      <w:pPr>
        <w:pStyle w:val="Heading2"/>
      </w:pPr>
      <w:r>
        <w:t xml:space="preserve">Referencias</w:t>
      </w:r>
    </w:p>
    <w:bookmarkStart w:id="70" w:name="refs"/>
    <w:bookmarkStart w:id="59" w:name="ref-di2019wilderness"/>
    <w:p>
      <w:pPr>
        <w:pStyle w:val="Bibliography"/>
      </w:pPr>
      <w:r>
        <w:t xml:space="preserve">Di Marco, Moreno, Simon Ferrier, Tom D Harwood, Andrew J Hoskins, and James EM Watson. 2019.</w:t>
      </w:r>
      <w:r>
        <w:t xml:space="preserve"> </w:t>
      </w:r>
      <w:r>
        <w:t xml:space="preserve">“Wilderness Areas Halve the Extinction Risk of Terrestrial Biodiversity.”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573 (7775): 582–85.</w:t>
      </w:r>
    </w:p>
    <w:bookmarkEnd w:id="59"/>
    <w:bookmarkStart w:id="60" w:name="ref-equihua2024big"/>
    <w:p>
      <w:pPr>
        <w:pStyle w:val="Bibliography"/>
      </w:pPr>
      <w:r>
        <w:t xml:space="preserve">Equihua, Miguel, Octavio Pérez-Maqueo, Julián Equihua, Pedro Maeda, Michael Schmidt, Melanie Kolb, Nashieli Garcia Alaniz, et al. 2024.</w:t>
      </w:r>
      <w:r>
        <w:t xml:space="preserve"> </w:t>
      </w:r>
      <w:r>
        <w:t xml:space="preserve">“A Big Data and Machine Learning Approach for Monitoring the Condition of Ecosystems.”</w:t>
      </w:r>
    </w:p>
    <w:bookmarkEnd w:id="60"/>
    <w:bookmarkStart w:id="61" w:name="ref-hansen2021toward"/>
    <w:p>
      <w:pPr>
        <w:pStyle w:val="Bibliography"/>
      </w:pPr>
      <w:r>
        <w:t xml:space="preserve">Hansen, Andrew J, Benjamin P Noble, Jaris Veneros, Alyson East, Scott J Goetz, Christina Supples, James EM Watson, et al. 2021.</w:t>
      </w:r>
      <w:r>
        <w:t xml:space="preserve"> </w:t>
      </w:r>
      <w:r>
        <w:t xml:space="preserve">“Toward Monitoring Forest Ecosystem Integrity Within the Post-2020 Global Biodiversity Framework.”</w:t>
      </w:r>
      <w:r>
        <w:t xml:space="preserve"> </w:t>
      </w:r>
      <w:r>
        <w:rPr>
          <w:iCs/>
          <w:i/>
        </w:rPr>
        <w:t xml:space="preserve">Conservation Letters</w:t>
      </w:r>
      <w:r>
        <w:t xml:space="preserve"> </w:t>
      </w:r>
      <w:r>
        <w:t xml:space="preserve">14 (4): e12822.</w:t>
      </w:r>
    </w:p>
    <w:bookmarkEnd w:id="61"/>
    <w:bookmarkStart w:id="62" w:name="ref-inegi2003conjunto"/>
    <w:p>
      <w:pPr>
        <w:pStyle w:val="Bibliography"/>
      </w:pPr>
      <w:r>
        <w:t xml:space="preserve">Instituto Nacional de Estadística Geografía e Informática. 2003.</w:t>
      </w:r>
      <w:r>
        <w:t xml:space="preserve"> </w:t>
      </w:r>
      <w:r>
        <w:t xml:space="preserve">“Conjunto de Datos Vectoriales de La Carta de Vegetación Primaria. Escala 1: 1000000 (Niveles i y II).”</w:t>
      </w:r>
      <w:r>
        <w:t xml:space="preserve"> </w:t>
      </w:r>
      <w:r>
        <w:t xml:space="preserve">INEGI.</w:t>
      </w:r>
    </w:p>
    <w:bookmarkEnd w:id="62"/>
    <w:bookmarkStart w:id="63" w:name="ref-inegi2021VII"/>
    <w:p>
      <w:pPr>
        <w:pStyle w:val="Bibliography"/>
      </w:pPr>
      <w:r>
        <w:t xml:space="preserve">———. 2021a.</w:t>
      </w:r>
      <w:r>
        <w:t xml:space="preserve"> </w:t>
      </w:r>
      <w:r>
        <w:t xml:space="preserve">“Conjunto de Datos Vectoriales de La Carta de Uso Del Suelo y Vegetación. Escala 1:250 000. Serie VII. Conjunto Nacional.”</w:t>
      </w:r>
      <w:r>
        <w:t xml:space="preserve"> </w:t>
      </w:r>
      <w:r>
        <w:t xml:space="preserve">INEGI.</w:t>
      </w:r>
    </w:p>
    <w:bookmarkEnd w:id="63"/>
    <w:bookmarkStart w:id="64" w:name="ref-inegi2021NCAVES"/>
    <w:p>
      <w:pPr>
        <w:pStyle w:val="Bibliography"/>
      </w:pPr>
      <w:r>
        <w:t xml:space="preserve">———. 2021b.</w:t>
      </w:r>
      <w:r>
        <w:t xml:space="preserve"> </w:t>
      </w:r>
      <w:r>
        <w:t xml:space="preserve">“Cuentas de Condición de Los Ecosistemas Terrestres de México. Cuentas de Los Ecosistemas de México. Resultados Del Proyecto Natural Capital Accounting and Valuation of Ecosystem Services (NCAVES).”</w:t>
      </w:r>
      <w:r>
        <w:t xml:space="preserve"> </w:t>
      </w:r>
      <w:r>
        <w:t xml:space="preserve">INEGI.</w:t>
      </w:r>
    </w:p>
    <w:bookmarkEnd w:id="64"/>
    <w:bookmarkStart w:id="65" w:name="ref-martin2016intact"/>
    <w:p>
      <w:pPr>
        <w:pStyle w:val="Bibliography"/>
      </w:pPr>
      <w:r>
        <w:t xml:space="preserve">Martin, Tara G, and James EM Watson. 2016.</w:t>
      </w:r>
      <w:r>
        <w:t xml:space="preserve"> </w:t>
      </w:r>
      <w:r>
        <w:t xml:space="preserve">“Intact Ecosystems Provide Best Defence Against Climate Change.”</w:t>
      </w:r>
      <w:r>
        <w:t xml:space="preserve"> </w:t>
      </w:r>
      <w:r>
        <w:rPr>
          <w:iCs/>
          <w:i/>
        </w:rPr>
        <w:t xml:space="preserve">Nature Climate Change</w:t>
      </w:r>
      <w:r>
        <w:t xml:space="preserve"> </w:t>
      </w:r>
      <w:r>
        <w:t xml:space="preserve">6 (2): 122–24.</w:t>
      </w:r>
    </w:p>
    <w:bookmarkEnd w:id="65"/>
    <w:bookmarkStart w:id="66" w:name="ref-nandy2021mapping"/>
    <w:p>
      <w:pPr>
        <w:pStyle w:val="Bibliography"/>
      </w:pPr>
      <w:r>
        <w:t xml:space="preserve">Nandy, Subrata, Ritika Srinet, and Hitendra Padalia. 2021.</w:t>
      </w:r>
      <w:r>
        <w:t xml:space="preserve"> </w:t>
      </w:r>
      <w:r>
        <w:t xml:space="preserve">“Mapping Forest Height and Aboveground Biomass by Integrating ICESat-2, Sentinel-1 and Sentinel-2 Data Using Random Forest Algorithm in Northwest Himalayan Foothills of India.”</w:t>
      </w:r>
      <w:r>
        <w:t xml:space="preserve"> </w:t>
      </w:r>
      <w:r>
        <w:rPr>
          <w:iCs/>
          <w:i/>
        </w:rPr>
        <w:t xml:space="preserve">Geophysical Research Letters</w:t>
      </w:r>
      <w:r>
        <w:t xml:space="preserve"> </w:t>
      </w:r>
      <w:r>
        <w:t xml:space="preserve">48 (14): e2021GL093799.</w:t>
      </w:r>
    </w:p>
    <w:bookmarkEnd w:id="66"/>
    <w:bookmarkStart w:id="67" w:name="ref-watson2018exceptional"/>
    <w:p>
      <w:pPr>
        <w:pStyle w:val="Bibliography"/>
      </w:pPr>
      <w:r>
        <w:t xml:space="preserve">Watson, James EM, Tom Evans, Oscar Venter, Brooke Williams, Ayesha Tulloch, Claire Stewart, Ian Thompson, et al. 2018.</w:t>
      </w:r>
      <w:r>
        <w:t xml:space="preserve"> </w:t>
      </w:r>
      <w:r>
        <w:t xml:space="preserve">“The Exceptional Value of Intact Forest Ecosystems.”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t xml:space="preserve">2 (4): 599–610.</w:t>
      </w:r>
    </w:p>
    <w:bookmarkEnd w:id="67"/>
    <w:bookmarkStart w:id="69" w:name="ref-Lieberman_2020"/>
    <w:p>
      <w:pPr>
        <w:pStyle w:val="Bibliography"/>
      </w:pPr>
      <w:r>
        <w:t xml:space="preserve">Wildlife Conservation Society. 2020.</w:t>
      </w:r>
      <w:r>
        <w:t xml:space="preserve"> </w:t>
      </w:r>
      <w:r>
        <w:t xml:space="preserve">“WCS - FAQ: Ecosystem Integrity in the Post-2020 Global Biodiversity Framework.”</w:t>
      </w:r>
      <w:r>
        <w:t xml:space="preserve"> </w:t>
      </w:r>
      <w:hyperlink r:id="rId68">
        <w:r>
          <w:rPr>
            <w:rStyle w:val="Hyperlink"/>
          </w:rPr>
          <w:t xml:space="preserve">https://cdn.wcs.org/2020/02/21/6iq1kmonow_Integrity_FAQ_2.2_21_February_2020_.pdf</w:t>
        </w:r>
      </w:hyperlink>
      <w:r>
        <w:t xml:space="preserve">; WCS.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hyperlink" Id="rId68" Target="https://cdn.wcs.org/2020/02/21/6iq1kmonow_Integrity_FAQ_2.2_21_February_2020_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cdn.wcs.org/2020/02/21/6iq1kmonow_Integrity_FAQ_2.2_21_February_2020_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Integridad Ecosistémica</dc:title>
  <dc:creator/>
  <cp:keywords/>
  <dcterms:created xsi:type="dcterms:W3CDTF">2025-01-23T23:59:53Z</dcterms:created>
  <dcterms:modified xsi:type="dcterms:W3CDTF">2025-01-23T23:59:53Z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