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4.xml" ContentType="application/vnd.openxmlformats-officedocument.wordprocessingml.header+xml"/>
  <Override PartName="/word/footer9.xml" ContentType="application/vnd.openxmlformats-officedocument.wordprocessingml.footer+xml"/>
  <Override PartName="/word/header1.xml" ContentType="application/vnd.openxmlformats-officedocument.wordprocessingml.header+xml"/>
  <Override PartName="/word/_rels/document.xml.rels" ContentType="application/vnd.openxmlformats-package.relationships+xml"/>
  <Override PartName="/word/footer6.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8.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_rels/item3.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1.xml.rels" ContentType="application/vnd.openxmlformats-package.relationships+xml"/>
  <Override PartName="/customXml/item1.xml" ContentType="application/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end="3"/>
        <w:jc w:val="center"/>
        <w:rPr>
          <w:kern w:val="2"/>
          <w:sz w:val="20"/>
          <w14:ligatures w14:val="standardContextual"/>
        </w:rPr>
      </w:pPr>
      <w:r>
        <w:rPr/>
        <w:drawing>
          <wp:inline distT="0" distB="0" distL="0" distR="0">
            <wp:extent cx="3943350" cy="157353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2"/>
                    <a:stretch>
                      <a:fillRect/>
                    </a:stretch>
                  </pic:blipFill>
                  <pic:spPr bwMode="auto">
                    <a:xfrm>
                      <a:off x="0" y="0"/>
                      <a:ext cx="3943350" cy="1573530"/>
                    </a:xfrm>
                    <a:prstGeom prst="rect">
                      <a:avLst/>
                    </a:prstGeom>
                    <a:noFill/>
                  </pic:spPr>
                </pic:pic>
              </a:graphicData>
            </a:graphic>
          </wp:inline>
        </w:drawing>
      </w:r>
    </w:p>
    <w:p>
      <w:pPr>
        <w:pStyle w:val="BodyText"/>
        <w:ind w:end="3"/>
        <w:rPr>
          <w:kern w:val="2"/>
          <w:sz w:val="20"/>
          <w14:ligatures w14:val="standardContextual"/>
        </w:rPr>
      </w:pPr>
      <w:r>
        <w:rPr>
          <w:kern w:val="2"/>
          <w:sz w:val="20"/>
          <w14:ligatures w14:val="standardContextual"/>
        </w:rPr>
      </w:r>
    </w:p>
    <w:p>
      <w:pPr>
        <w:pStyle w:val="BodyText"/>
        <w:ind w:end="3"/>
        <w:rPr>
          <w:kern w:val="2"/>
          <w:sz w:val="20"/>
          <w14:ligatures w14:val="standardContextual"/>
        </w:rPr>
      </w:pPr>
      <w:r>
        <w:rPr>
          <w:kern w:val="2"/>
          <w:sz w:val="20"/>
          <w14:ligatures w14:val="standardContextual"/>
        </w:rPr>
      </w:r>
    </w:p>
    <w:p>
      <w:pPr>
        <w:pStyle w:val="BodyText"/>
        <w:ind w:end="3"/>
        <w:rPr>
          <w:kern w:val="2"/>
          <w:sz w:val="20"/>
          <w14:ligatures w14:val="standardContextual"/>
        </w:rPr>
      </w:pPr>
      <w:r>
        <w:rPr>
          <w:kern w:val="2"/>
          <w:sz w:val="20"/>
          <w14:ligatures w14:val="standardContextual"/>
        </w:rPr>
      </w:r>
    </w:p>
    <w:p>
      <w:pPr>
        <w:pStyle w:val="BodyText"/>
        <w:ind w:end="3"/>
        <w:rPr>
          <w:kern w:val="2"/>
          <w:sz w:val="20"/>
          <w14:ligatures w14:val="standardContextual"/>
        </w:rPr>
      </w:pPr>
      <w:r>
        <w:rPr>
          <w:kern w:val="2"/>
          <w:sz w:val="20"/>
          <w14:ligatures w14:val="standardContextual"/>
        </w:rPr>
      </w:r>
    </w:p>
    <w:p>
      <w:pPr>
        <w:pStyle w:val="BodyText"/>
        <w:ind w:end="3"/>
        <w:rPr>
          <w:kern w:val="2"/>
          <w14:ligatures w14:val="standardContextual"/>
        </w:rPr>
      </w:pPr>
      <w:r>
        <w:rPr>
          <w:kern w:val="2"/>
          <w14:ligatures w14:val="standardContextual"/>
        </w:rPr>
      </w:r>
    </w:p>
    <w:p>
      <w:pPr>
        <w:pStyle w:val="Title"/>
        <w:rPr/>
      </w:pPr>
      <w:r>
        <w:rPr/>
        <w:t>Robot-oriented Altruism</w:t>
      </w:r>
    </w:p>
    <w:p>
      <w:pPr>
        <w:pStyle w:val="Normal"/>
        <w:ind w:end="3"/>
        <w:jc w:val="center"/>
        <w:rPr>
          <w:kern w:val="2"/>
          <w:sz w:val="32"/>
          <w:szCs w:val="32"/>
          <w14:ligatures w14:val="standardContextual"/>
        </w:rPr>
      </w:pPr>
      <w:r>
        <w:rPr>
          <w:kern w:val="2"/>
          <w:sz w:val="32"/>
          <w:szCs w:val="32"/>
          <w14:ligatures w14:val="standardContextual"/>
        </w:rPr>
      </w:r>
    </w:p>
    <w:p>
      <w:pPr>
        <w:pStyle w:val="Normal"/>
        <w:ind w:end="3"/>
        <w:jc w:val="center"/>
        <w:rPr>
          <w:kern w:val="2"/>
          <w:sz w:val="32"/>
          <w:szCs w:val="32"/>
          <w14:ligatures w14:val="standardContextual"/>
        </w:rPr>
      </w:pPr>
      <w:r>
        <w:rPr>
          <w:kern w:val="2"/>
          <w:sz w:val="32"/>
          <w:szCs w:val="32"/>
          <w14:ligatures w14:val="standardContextual"/>
        </w:rPr>
        <w:t>Jacob Shier</w:t>
      </w:r>
    </w:p>
    <w:p>
      <w:pPr>
        <w:pStyle w:val="Normal"/>
        <w:ind w:end="3"/>
        <w:jc w:val="center"/>
        <w:rPr>
          <w:kern w:val="2"/>
          <w:sz w:val="32"/>
          <w:szCs w:val="32"/>
          <w14:ligatures w14:val="standardContextual"/>
        </w:rPr>
      </w:pPr>
      <w:r>
        <w:rPr>
          <w:kern w:val="2"/>
          <w:sz w:val="32"/>
          <w:szCs w:val="32"/>
          <w14:ligatures w14:val="standardContextual"/>
        </w:rPr>
      </w:r>
    </w:p>
    <w:p>
      <w:pPr>
        <w:pStyle w:val="Normal"/>
        <w:ind w:end="3"/>
        <w:jc w:val="center"/>
        <w:rPr>
          <w:sz w:val="32"/>
          <w:szCs w:val="32"/>
        </w:rPr>
      </w:pPr>
      <w:r>
        <w:rPr>
          <w:sz w:val="32"/>
          <w:szCs w:val="32"/>
        </w:rPr>
        <w:t>Bachelor</w:t>
      </w:r>
      <w:r>
        <w:rPr>
          <w:i/>
          <w:iCs/>
          <w:sz w:val="32"/>
          <w:szCs w:val="32"/>
        </w:rPr>
        <w:t xml:space="preserve"> </w:t>
      </w:r>
      <w:r>
        <w:rPr>
          <w:sz w:val="32"/>
          <w:szCs w:val="32"/>
        </w:rPr>
        <w:t>of Linguistics and Russian Studies</w:t>
      </w:r>
    </w:p>
    <w:p>
      <w:pPr>
        <w:pStyle w:val="Normal"/>
        <w:ind w:end="3"/>
        <w:jc w:val="center"/>
        <w:rPr>
          <w:sz w:val="32"/>
          <w:szCs w:val="32"/>
        </w:rPr>
      </w:pPr>
      <w:r>
        <w:rPr>
          <w:sz w:val="32"/>
          <w:szCs w:val="32"/>
        </w:rPr>
        <w:t>Master of Russian Translation</w:t>
      </w:r>
    </w:p>
    <w:p>
      <w:pPr>
        <w:pStyle w:val="Normal"/>
        <w:ind w:end="3"/>
        <w:jc w:val="center"/>
        <w:rPr>
          <w:sz w:val="32"/>
          <w:szCs w:val="32"/>
        </w:rPr>
      </w:pPr>
      <w:r>
        <w:rPr>
          <w:sz w:val="32"/>
          <w:szCs w:val="32"/>
        </w:rPr>
        <w:t>Master of Neuroscience</w:t>
      </w:r>
    </w:p>
    <w:p>
      <w:pPr>
        <w:pStyle w:val="Normal"/>
        <w:ind w:end="3"/>
        <w:jc w:val="center"/>
        <w:rPr>
          <w:sz w:val="32"/>
          <w:szCs w:val="32"/>
        </w:rPr>
      </w:pPr>
      <w:r>
        <w:rPr>
          <w:sz w:val="32"/>
          <w:szCs w:val="32"/>
        </w:rPr>
      </w:r>
    </w:p>
    <w:p>
      <w:pPr>
        <w:pStyle w:val="Normal"/>
        <w:ind w:end="3"/>
        <w:rPr>
          <w:kern w:val="2"/>
          <w:sz w:val="34"/>
          <w:szCs w:val="34"/>
          <w14:ligatures w14:val="standardContextual"/>
        </w:rPr>
      </w:pPr>
      <w:r>
        <w:rPr>
          <w:kern w:val="2"/>
          <w:sz w:val="34"/>
          <w:szCs w:val="34"/>
          <w14:ligatures w14:val="standardContextual"/>
        </w:rPr>
      </w:r>
    </w:p>
    <w:p>
      <w:pPr>
        <w:pStyle w:val="Normal"/>
        <w:ind w:end="3"/>
        <w:rPr>
          <w:sz w:val="34"/>
          <w:szCs w:val="34"/>
        </w:rPr>
      </w:pPr>
      <w:r>
        <w:rPr>
          <w:sz w:val="34"/>
          <w:szCs w:val="34"/>
        </w:rPr>
      </w:r>
    </w:p>
    <w:p>
      <w:pPr>
        <w:pStyle w:val="Normal"/>
        <w:ind w:end="3"/>
        <w:jc w:val="center"/>
        <w:rPr>
          <w:kern w:val="2"/>
          <w14:ligatures w14:val="standardContextual"/>
        </w:rPr>
      </w:pPr>
      <w:r>
        <mc:AlternateContent>
          <mc:Choice Requires="wps">
            <w:drawing>
              <wp:anchor behindDoc="0" distT="0" distB="0" distL="0" distR="0" simplePos="0" locked="0" layoutInCell="0" allowOverlap="1" relativeHeight="5" wp14:anchorId="647B0CA5">
                <wp:simplePos x="0" y="0"/>
                <wp:positionH relativeFrom="page">
                  <wp:posOffset>3627120</wp:posOffset>
                </wp:positionH>
                <wp:positionV relativeFrom="paragraph">
                  <wp:posOffset>60325</wp:posOffset>
                </wp:positionV>
                <wp:extent cx="317500" cy="317500"/>
                <wp:effectExtent l="4445" t="5715" r="5715" b="5080"/>
                <wp:wrapTopAndBottom/>
                <wp:docPr id="2" name="image2.jpeg"/>
                <a:graphic xmlns:a="http://schemas.openxmlformats.org/drawingml/2006/main">
                  <a:graphicData uri="http://schemas.openxmlformats.org/drawingml/2006/picture">
                    <pic:pic xmlns:pic="http://schemas.openxmlformats.org/drawingml/2006/picture">
                      <pic:nvPicPr>
                        <pic:cNvPr id="3" name="image2.jpeg" descr=""/>
                        <pic:cNvPicPr/>
                      </pic:nvPicPr>
                      <pic:blipFill>
                        <a:blip r:embed="rId3"/>
                        <a:stretch/>
                      </pic:blipFill>
                      <pic:spPr>
                        <a:xfrm rot="21480000">
                          <a:off x="0" y="0"/>
                          <a:ext cx="317520" cy="3175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2.jpeg" stroked="f" o:allowincell="f" style="position:absolute;margin-left:285.55pt;margin-top:4.7pt;width:24.95pt;height:24.95pt;mso-wrap-style:none;v-text-anchor:middle;rotation:358;mso-position-horizontal-relative:page" wp14:anchorId="647B0CA5" type="_x0000_t75">
                <v:imagedata r:id="rId4" o:detectmouseclick="t"/>
                <v:stroke color="#3465a4" joinstyle="round" endcap="flat"/>
                <w10:wrap type="topAndBottom"/>
              </v:shape>
            </w:pict>
          </mc:Fallback>
        </mc:AlternateContent>
      </w:r>
      <w:r>
        <w:rPr/>
        <w:t>https://orcid.org/0009-0001-6788-4117</w:t>
      </w:r>
    </w:p>
    <w:p>
      <w:pPr>
        <w:pStyle w:val="BodyText"/>
        <w:ind w:end="3"/>
        <w:jc w:val="center"/>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sz w:val="28"/>
          <w14:ligatures w14:val="standardContextual"/>
        </w:rPr>
      </w:pPr>
      <w:r>
        <w:rPr>
          <w:kern w:val="2"/>
          <w:sz w:val="28"/>
          <w14:ligatures w14:val="standardContextual"/>
        </w:rPr>
      </w:r>
    </w:p>
    <w:p>
      <w:pPr>
        <w:pStyle w:val="BodyText"/>
        <w:ind w:end="3"/>
        <w:rPr>
          <w:kern w:val="2"/>
          <w14:ligatures w14:val="standardContextual"/>
        </w:rPr>
      </w:pPr>
      <w:r>
        <w:rPr>
          <w:kern w:val="2"/>
          <w14:ligatures w14:val="standardContextual"/>
        </w:rPr>
      </w:r>
    </w:p>
    <w:p>
      <w:pPr>
        <w:pStyle w:val="Normal"/>
        <w:ind w:end="3"/>
        <w:jc w:val="center"/>
        <w:rPr>
          <w:i/>
          <w:i/>
          <w:iCs/>
          <w:kern w:val="2"/>
          <w:sz w:val="28"/>
          <w:szCs w:val="28"/>
          <w14:ligatures w14:val="standardContextual"/>
        </w:rPr>
      </w:pPr>
      <w:r>
        <w:rPr>
          <w:i/>
          <w:iCs/>
          <w:kern w:val="2"/>
          <w:sz w:val="28"/>
          <w:szCs w:val="28"/>
          <w14:ligatures w14:val="standardContextual"/>
        </w:rPr>
        <w:t>A thesis submitted for the degree of Doctor of Philosophy at</w:t>
      </w:r>
    </w:p>
    <w:p>
      <w:pPr>
        <w:pStyle w:val="Normal"/>
        <w:ind w:end="3"/>
        <w:jc w:val="center"/>
        <w:rPr>
          <w:i/>
          <w:i/>
          <w:kern w:val="2"/>
          <w:sz w:val="28"/>
          <w:szCs w:val="28"/>
          <w14:ligatures w14:val="standardContextual"/>
        </w:rPr>
      </w:pPr>
      <w:r>
        <w:rPr>
          <w:i/>
          <w:iCs/>
          <w:kern w:val="2"/>
          <w:sz w:val="28"/>
          <w:szCs w:val="28"/>
          <w14:ligatures w14:val="standardContextual"/>
        </w:rPr>
        <w:t>The University of Queensland in 2027</w:t>
      </w:r>
    </w:p>
    <w:p>
      <w:pPr>
        <w:sectPr>
          <w:footerReference w:type="even" r:id="rId5"/>
          <w:footerReference w:type="default" r:id="rId6"/>
          <w:footerReference w:type="first" r:id="rId7"/>
          <w:type w:val="nextPage"/>
          <w:pgSz w:w="11906" w:h="16838"/>
          <w:pgMar w:left="1134" w:right="1134" w:gutter="0" w:header="0" w:top="1134" w:footer="720" w:bottom="1134"/>
          <w:pgNumType w:start="1" w:fmt="lowerRoman"/>
          <w:formProt w:val="false"/>
          <w:titlePg/>
          <w:textDirection w:val="lrTb"/>
          <w:docGrid w:type="default" w:linePitch="100" w:charSpace="0"/>
        </w:sectPr>
        <w:pStyle w:val="Normal"/>
        <w:spacing w:before="0" w:after="0"/>
        <w:ind w:end="3"/>
        <w:jc w:val="center"/>
        <w:rPr>
          <w:kern w:val="2"/>
          <w:sz w:val="28"/>
          <w:szCs w:val="28"/>
          <w14:ligatures w14:val="standardContextual"/>
        </w:rPr>
      </w:pPr>
      <w:r>
        <w:rPr>
          <w:kern w:val="2"/>
          <w:sz w:val="28"/>
          <w:szCs w:val="28"/>
          <w14:ligatures w14:val="standardContextual"/>
        </w:rPr>
        <w:t>School of Psychology</w:t>
      </w:r>
    </w:p>
    <w:p>
      <w:pPr>
        <w:pStyle w:val="Normal"/>
        <w:spacing w:lineRule="auto" w:line="360" w:before="0" w:after="0"/>
        <w:rPr>
          <w:b/>
          <w:bCs/>
          <w:sz w:val="36"/>
          <w:szCs w:val="36"/>
        </w:rPr>
      </w:pPr>
      <w:bookmarkStart w:id="0" w:name="_bookmark0"/>
      <w:bookmarkStart w:id="1" w:name="Abstract"/>
      <w:bookmarkEnd w:id="0"/>
      <w:bookmarkEnd w:id="1"/>
      <w:r>
        <w:rPr>
          <w:b/>
          <w:bCs/>
          <w:sz w:val="36"/>
          <w:szCs w:val="36"/>
        </w:rPr>
        <w:t>Abstract</w:t>
      </w:r>
    </w:p>
    <w:p>
      <w:pPr>
        <w:pStyle w:val="BodyText"/>
        <w:spacing w:lineRule="auto" w:line="360"/>
        <w:rPr>
          <w:b/>
          <w:bCs/>
          <w:i/>
          <w:i/>
          <w:iCs/>
          <w:kern w:val="2"/>
          <w14:ligatures w14:val="standardContextual"/>
        </w:rPr>
      </w:pPr>
      <w:r>
        <w:rPr>
          <w:b/>
          <w:bCs/>
          <w:i/>
          <w:iCs/>
          <w:kern w:val="2"/>
          <w14:ligatures w14:val="standardContextual"/>
        </w:rPr>
      </w:r>
    </w:p>
    <w:p>
      <w:pPr>
        <w:pStyle w:val="BodyText"/>
        <w:spacing w:lineRule="auto" w:line="360"/>
        <w:rPr>
          <w:color w:val="7030A0"/>
          <w:kern w:val="2"/>
          <w14:ligatures w14:val="standardContextual"/>
        </w:rPr>
      </w:pPr>
      <w:r>
        <w:rPr>
          <w:color w:val="7030A0"/>
          <w:kern w:val="2"/>
          <w14:ligatures w14:val="standardContextual"/>
        </w:rPr>
        <w:t>Start this section on a new page.</w:t>
      </w:r>
    </w:p>
    <w:p>
      <w:pPr>
        <w:pStyle w:val="BodyText"/>
        <w:spacing w:lineRule="auto" w:line="360"/>
        <w:ind w:end="112"/>
        <w:rPr>
          <w:color w:val="7030A0"/>
          <w:kern w:val="2"/>
          <w14:ligatures w14:val="standardContextual"/>
        </w:rPr>
      </w:pPr>
      <w:r>
        <w:rPr>
          <w:color w:val="7030A0"/>
          <w:kern w:val="2"/>
          <w14:ligatures w14:val="standardContextual"/>
        </w:rPr>
      </w:r>
    </w:p>
    <w:p>
      <w:pPr>
        <w:pStyle w:val="BodyText"/>
        <w:spacing w:lineRule="auto" w:line="360"/>
        <w:ind w:end="112"/>
        <w:rPr>
          <w:color w:val="7030A0"/>
          <w:kern w:val="2"/>
          <w14:ligatures w14:val="standardContextual"/>
        </w:rPr>
      </w:pPr>
      <w:r>
        <w:rPr>
          <w:color w:val="7030A0"/>
          <w:kern w:val="2"/>
          <w14:ligatures w14:val="standardContextual"/>
        </w:rPr>
        <w:t xml:space="preserve">The abstract should outline the main approach and findings of the thesis and </w:t>
      </w:r>
      <w:r>
        <w:rPr>
          <w:color w:val="7030A0"/>
        </w:rPr>
        <w:t xml:space="preserve">should </w:t>
      </w:r>
      <w:r>
        <w:rPr>
          <w:color w:val="7030A0"/>
          <w:kern w:val="2"/>
          <w14:ligatures w14:val="standardContextual"/>
        </w:rPr>
        <w:t>normally be between 300 and 800 words.</w:t>
      </w:r>
    </w:p>
    <w:p>
      <w:pPr>
        <w:pStyle w:val="Normal"/>
        <w:spacing w:lineRule="auto" w:line="360"/>
        <w:rPr>
          <w:kern w:val="2"/>
          <w14:ligatures w14:val="standardContextual"/>
        </w:rPr>
      </w:pPr>
      <w:r>
        <w:rPr>
          <w:kern w:val="2"/>
          <w14:ligatures w14:val="standardContextual"/>
        </w:rPr>
      </w:r>
    </w:p>
    <w:p>
      <w:pPr>
        <w:pStyle w:val="Normal"/>
        <w:rPr>
          <w:kern w:val="2"/>
          <w14:ligatures w14:val="standardContextual"/>
        </w:rPr>
      </w:pPr>
      <w:r>
        <w:rPr>
          <w:kern w:val="2"/>
          <w14:ligatures w14:val="standardContextual"/>
        </w:rPr>
      </w:r>
      <w:r>
        <w:br w:type="page"/>
      </w:r>
    </w:p>
    <w:p>
      <w:pPr>
        <w:pStyle w:val="Normal"/>
        <w:spacing w:lineRule="auto" w:line="360" w:before="0" w:after="0"/>
        <w:rPr>
          <w:b/>
          <w:bCs/>
          <w:sz w:val="36"/>
          <w:szCs w:val="36"/>
        </w:rPr>
      </w:pPr>
      <w:r>
        <w:rPr>
          <w:b/>
          <w:bCs/>
          <w:sz w:val="36"/>
          <w:szCs w:val="36"/>
        </w:rPr>
        <w:t>Declaration by Author</w:t>
      </w:r>
    </w:p>
    <w:p>
      <w:pPr>
        <w:pStyle w:val="BodyText"/>
        <w:spacing w:lineRule="auto" w:line="360"/>
        <w:rPr>
          <w:b/>
          <w:bCs/>
          <w:i/>
          <w:i/>
          <w:iCs/>
          <w:kern w:val="2"/>
          <w14:ligatures w14:val="standardContextual"/>
        </w:rPr>
      </w:pPr>
      <w:r>
        <w:rPr>
          <w:b/>
          <w:bCs/>
          <w:i/>
          <w:iCs/>
          <w:kern w:val="2"/>
          <w14:ligatures w14:val="standardContextual"/>
        </w:rPr>
      </w:r>
    </w:p>
    <w:p>
      <w:pPr>
        <w:pStyle w:val="BodyText"/>
        <w:spacing w:lineRule="auto" w:line="360"/>
        <w:ind w:hanging="8" w:end="198"/>
        <w:rPr/>
      </w:pPr>
      <w:r>
        <w:rPr>
          <w:kern w:val="2"/>
          <w14:ligatures w14:val="standardContextual"/>
        </w:rPr>
        <w:t>This thesis is composed of my original work, and contains no material previously published</w:t>
      </w:r>
      <w:r>
        <w:rPr/>
        <w:t>,</w:t>
      </w:r>
      <w:r>
        <w:rPr>
          <w:kern w:val="2"/>
          <w14:ligatures w14:val="standardContextual"/>
        </w:rPr>
        <w:t xml:space="preserve"> written by another person</w:t>
      </w:r>
      <w:r>
        <w:rPr/>
        <w:t>,</w:t>
      </w:r>
      <w:r>
        <w:rPr>
          <w:kern w:val="2"/>
          <w14:ligatures w14:val="standardContextual"/>
        </w:rPr>
        <w:t xml:space="preserve"> </w:t>
      </w:r>
      <w:r>
        <w:rPr/>
        <w:t>or generated by artificial intelligence (AI)</w:t>
      </w:r>
      <w:r>
        <w:rPr>
          <w:kern w:val="2"/>
          <w14:ligatures w14:val="standardContextual"/>
        </w:rPr>
        <w:t>,</w:t>
      </w:r>
      <w:r>
        <w:rPr/>
        <w:t xml:space="preserve"> except where clearly referenced and acknowledged either in the main text or the preliminary pages of this thesis.</w:t>
      </w:r>
      <w:r>
        <w:rPr>
          <w:kern w:val="2"/>
          <w14:ligatures w14:val="standardContextual"/>
        </w:rPr>
        <w:t xml:space="preserve"> I have clearly stated the contribution </w:t>
      </w:r>
      <w:r>
        <w:rPr/>
        <w:t xml:space="preserve">of </w:t>
      </w:r>
      <w:r>
        <w:rPr>
          <w:kern w:val="2"/>
          <w14:ligatures w14:val="standardContextual"/>
        </w:rPr>
        <w:t>others to jointly authored works that I have included in my thesis.</w:t>
      </w:r>
    </w:p>
    <w:p>
      <w:pPr>
        <w:pStyle w:val="BodyText"/>
        <w:spacing w:lineRule="auto" w:line="360"/>
        <w:rPr>
          <w:kern w:val="2"/>
          <w14:ligatures w14:val="standardContextual"/>
        </w:rPr>
      </w:pPr>
      <w:r>
        <w:rPr>
          <w:kern w:val="2"/>
          <w14:ligatures w14:val="standardContextual"/>
        </w:rPr>
      </w:r>
    </w:p>
    <w:p>
      <w:pPr>
        <w:pStyle w:val="BodyText"/>
        <w:spacing w:lineRule="auto" w:line="360"/>
        <w:ind w:firstLine="8" w:end="168"/>
        <w:rPr>
          <w:kern w:val="2"/>
          <w14:ligatures w14:val="standardContextual"/>
        </w:rPr>
      </w:pPr>
      <w:r>
        <w:rPr>
          <w:kern w:val="2"/>
          <w14:ligatures w14:val="standardContextual"/>
        </w:rPr>
        <w:t>I have clearly stated the contribution of others to my thesis as a whole, including statistical assistance, survey design, data analysis, significant technical procedures, professional editorial advice, use of AI tools, financial support and any other original research work used or reported in my thesis. The content of my thesis is the result of work I have carried out since the commencement of my higher degree by research candidature and does not include a substantial part of work that has been submitted to qualify for the award of any other degree or diploma in any university or other tertiary institution. I have clearly stated which parts of my thesis, if any, have been submitted to qualify for another award.</w:t>
      </w:r>
    </w:p>
    <w:p>
      <w:pPr>
        <w:pStyle w:val="BodyText"/>
        <w:spacing w:lineRule="auto" w:line="360"/>
        <w:rPr>
          <w:kern w:val="2"/>
          <w14:ligatures w14:val="standardContextual"/>
        </w:rPr>
      </w:pPr>
      <w:r>
        <w:rPr>
          <w:kern w:val="2"/>
          <w14:ligatures w14:val="standardContextual"/>
        </w:rPr>
      </w:r>
    </w:p>
    <w:p>
      <w:pPr>
        <w:pStyle w:val="BodyText"/>
        <w:spacing w:lineRule="auto" w:line="360"/>
        <w:ind w:end="168"/>
        <w:rPr/>
      </w:pPr>
      <w:r>
        <w:rPr>
          <w:kern w:val="2"/>
          <w14:ligatures w14:val="standardContextual"/>
        </w:rPr>
        <w:t xml:space="preserve">I acknowledge that an electronic copy of my thesis must be lodged with the University Library and, subject to the policy and procedures of The University of Queensland, the thesis </w:t>
      </w:r>
      <w:r>
        <w:rPr/>
        <w:t xml:space="preserve">must be </w:t>
      </w:r>
      <w:r>
        <w:rPr>
          <w:kern w:val="2"/>
          <w14:ligatures w14:val="standardContextual"/>
        </w:rPr>
        <w:t>made available for research and study in accordance with the Copyright Act 1968 unless a period of embargo has been approved by the Dean of the Graduate School.</w:t>
      </w:r>
    </w:p>
    <w:p>
      <w:pPr>
        <w:pStyle w:val="BodyText"/>
        <w:spacing w:lineRule="auto" w:line="360"/>
        <w:rPr>
          <w:kern w:val="2"/>
          <w14:ligatures w14:val="standardContextual"/>
        </w:rPr>
      </w:pPr>
      <w:r>
        <w:rPr>
          <w:kern w:val="2"/>
          <w14:ligatures w14:val="standardContextual"/>
        </w:rPr>
      </w:r>
    </w:p>
    <w:p>
      <w:pPr>
        <w:pStyle w:val="BodyText"/>
        <w:spacing w:lineRule="auto" w:line="360"/>
        <w:ind w:firstLine="8" w:end="182"/>
        <w:rPr>
          <w:kern w:val="2"/>
          <w14:ligatures w14:val="standardContextual"/>
        </w:rPr>
      </w:pPr>
      <w:r>
        <w:rPr>
          <w:kern w:val="2"/>
          <w14:ligatures w14:val="standardContextual"/>
        </w:rPr>
        <w:t>I acknowledge that copyright of all material contained in my thesis resides with the copyright holder(s) of that material. Where appropriate I have obtained copyright permission from the copyright holder to reproduce material in this thesis and have sought permission from co-authors for any jointly authored works included in the thesis.</w:t>
      </w:r>
    </w:p>
    <w:p>
      <w:pPr>
        <w:pStyle w:val="Normal"/>
        <w:spacing w:lineRule="auto" w:line="360"/>
        <w:jc w:val="both"/>
        <w:rPr>
          <w:kern w:val="2"/>
          <w14:ligatures w14:val="standardContextual"/>
        </w:rPr>
      </w:pPr>
      <w:r>
        <w:rPr>
          <w:kern w:val="2"/>
          <w14:ligatures w14:val="standardContextual"/>
        </w:rPr>
      </w:r>
    </w:p>
    <w:p>
      <w:pPr>
        <w:pStyle w:val="Normal"/>
        <w:rPr>
          <w:kern w:val="2"/>
          <w14:ligatures w14:val="standardContextual"/>
        </w:rPr>
      </w:pPr>
      <w:r>
        <w:rPr>
          <w:kern w:val="2"/>
          <w14:ligatures w14:val="standardContextual"/>
        </w:rPr>
      </w:r>
      <w:r>
        <w:br w:type="page"/>
      </w:r>
    </w:p>
    <w:p>
      <w:pPr>
        <w:pStyle w:val="Normal"/>
        <w:spacing w:lineRule="auto" w:line="360" w:before="0" w:after="0"/>
        <w:rPr>
          <w:b/>
          <w:bCs/>
          <w:sz w:val="36"/>
          <w:szCs w:val="36"/>
        </w:rPr>
      </w:pPr>
      <w:r>
        <w:rPr>
          <w:b/>
          <w:bCs/>
          <w:sz w:val="36"/>
          <w:szCs w:val="36"/>
        </w:rPr>
        <w:t>Publications Included in this Thesis</w:t>
      </w:r>
    </w:p>
    <w:p>
      <w:pPr>
        <w:pStyle w:val="BodyText"/>
        <w:spacing w:lineRule="auto" w:line="360"/>
        <w:rPr>
          <w:b/>
          <w:bCs/>
          <w:i/>
          <w:i/>
          <w:iCs/>
          <w:kern w:val="2"/>
          <w14:ligatures w14:val="standardContextual"/>
        </w:rPr>
      </w:pPr>
      <w:r>
        <w:rPr>
          <w:b/>
          <w:bCs/>
          <w:i/>
          <w:iCs/>
          <w:kern w:val="2"/>
          <w14:ligatures w14:val="standardContextual"/>
        </w:rPr>
      </w:r>
    </w:p>
    <w:p>
      <w:pPr>
        <w:pStyle w:val="BodyText"/>
        <w:spacing w:lineRule="auto" w:line="360"/>
        <w:rPr>
          <w:color w:val="7030A0"/>
          <w:kern w:val="2"/>
          <w14:ligatures w14:val="standardContextual"/>
        </w:rPr>
      </w:pPr>
      <w:bookmarkStart w:id="2" w:name="_Hlk107891666"/>
      <w:r>
        <w:rPr>
          <w:color w:val="7030A0"/>
          <w:kern w:val="2"/>
          <w14:ligatures w14:val="standardContextual"/>
        </w:rPr>
        <w:t>Start this section on a new page.</w:t>
      </w:r>
      <w:bookmarkEnd w:id="2"/>
    </w:p>
    <w:p>
      <w:pPr>
        <w:pStyle w:val="BodyText"/>
        <w:spacing w:lineRule="auto" w:line="360"/>
        <w:ind w:end="186"/>
        <w:rPr>
          <w:kern w:val="2"/>
          <w14:ligatures w14:val="standardContextual"/>
        </w:rPr>
      </w:pPr>
      <w:r>
        <w:rPr>
          <w:kern w:val="2"/>
          <w14:ligatures w14:val="standardContextual"/>
        </w:rPr>
      </w:r>
    </w:p>
    <w:p>
      <w:pPr>
        <w:pStyle w:val="BodyText"/>
        <w:spacing w:lineRule="auto" w:line="360"/>
        <w:ind w:end="186"/>
        <w:rPr>
          <w:color w:val="7030A0"/>
          <w:kern w:val="2"/>
          <w14:ligatures w14:val="standardContextual"/>
        </w:rPr>
      </w:pPr>
      <w:r>
        <w:rPr>
          <w:color w:val="7030A0"/>
          <w:kern w:val="2"/>
          <w14:ligatures w14:val="standardContextual"/>
        </w:rPr>
        <w:t xml:space="preserve">If you choose to include publications as part of your thesis as described in the UQ </w:t>
      </w:r>
      <w:hyperlink r:id="rId8">
        <w:r>
          <w:rPr>
            <w:rStyle w:val="Hyperlink"/>
            <w:kern w:val="2"/>
            <w14:ligatures w14:val="standardContextual"/>
          </w:rPr>
          <w:t>HDR Examination Guidelines</w:t>
        </w:r>
      </w:hyperlink>
      <w:r>
        <w:rPr>
          <w:color w:val="7030A0"/>
          <w:kern w:val="2"/>
          <w14:ligatures w14:val="standardContextual"/>
        </w:rPr>
        <w:t xml:space="preserve">, use this section to </w:t>
      </w:r>
      <w:r>
        <w:rPr>
          <w:color w:val="7030A0"/>
        </w:rPr>
        <w:t xml:space="preserve">list </w:t>
      </w:r>
      <w:r>
        <w:rPr>
          <w:color w:val="7030A0"/>
          <w:kern w:val="2"/>
          <w14:ligatures w14:val="standardContextual"/>
        </w:rPr>
        <w:t xml:space="preserve">any publications included in this thesis using the </w:t>
      </w:r>
      <w:r>
        <w:rPr>
          <w:color w:val="7030A0"/>
        </w:rPr>
        <w:t xml:space="preserve">appropriate </w:t>
      </w:r>
      <w:hyperlink r:id="rId9">
        <w:r>
          <w:rPr>
            <w:rStyle w:val="Hyperlink"/>
          </w:rPr>
          <w:t>referencing style</w:t>
        </w:r>
      </w:hyperlink>
      <w:r>
        <w:rPr>
          <w:color w:val="7030A0"/>
        </w:rPr>
        <w:t xml:space="preserve"> </w:t>
      </w:r>
      <w:r>
        <w:rPr>
          <w:color w:val="7030A0"/>
          <w:kern w:val="2"/>
          <w14:ligatures w14:val="standardContextual"/>
        </w:rPr>
        <w:t>for your discipline.</w:t>
      </w:r>
      <w:r>
        <w:rPr>
          <w:color w:val="7030A0"/>
        </w:rPr>
        <w:t xml:space="preserve"> If in doubt, seek advice from your advisory team. </w:t>
      </w:r>
    </w:p>
    <w:p>
      <w:pPr>
        <w:pStyle w:val="BodyText"/>
        <w:spacing w:lineRule="auto" w:line="360"/>
        <w:ind w:end="186"/>
        <w:rPr>
          <w:color w:val="7030A0"/>
          <w:kern w:val="2"/>
          <w14:ligatures w14:val="standardContextual"/>
        </w:rPr>
      </w:pPr>
      <w:r>
        <w:rPr>
          <w:color w:val="7030A0"/>
          <w:kern w:val="2"/>
          <w14:ligatures w14:val="standardContextual"/>
        </w:rPr>
      </w:r>
    </w:p>
    <w:p>
      <w:pPr>
        <w:pStyle w:val="BodyText"/>
        <w:spacing w:lineRule="auto" w:line="360"/>
        <w:ind w:end="186"/>
        <w:rPr>
          <w:color w:val="7030A0"/>
          <w:kern w:val="2"/>
          <w14:ligatures w14:val="standardContextual"/>
        </w:rPr>
      </w:pPr>
      <w:r>
        <w:rPr>
          <w:color w:val="7030A0"/>
          <w:kern w:val="2"/>
          <w14:ligatures w14:val="standardContextual"/>
        </w:rPr>
        <w:t>Arrange your publications under the following four sub-headings:</w:t>
      </w:r>
    </w:p>
    <w:p>
      <w:pPr>
        <w:pStyle w:val="BodyText"/>
        <w:numPr>
          <w:ilvl w:val="0"/>
          <w:numId w:val="3"/>
        </w:numPr>
        <w:spacing w:lineRule="auto" w:line="360"/>
        <w:ind w:hanging="360" w:start="360" w:end="186"/>
        <w:rPr>
          <w:color w:val="7030A0"/>
          <w:kern w:val="2"/>
          <w14:ligatures w14:val="standardContextual"/>
        </w:rPr>
      </w:pPr>
      <w:r>
        <w:rPr>
          <w:b/>
          <w:bCs/>
          <w:color w:val="7030A0"/>
        </w:rPr>
        <w:t>Published</w:t>
      </w:r>
      <w:r>
        <w:rPr>
          <w:color w:val="7030A0"/>
        </w:rPr>
        <w:t>: Any publications that have been formally published.</w:t>
      </w:r>
    </w:p>
    <w:p>
      <w:pPr>
        <w:pStyle w:val="BodyText"/>
        <w:numPr>
          <w:ilvl w:val="0"/>
          <w:numId w:val="3"/>
        </w:numPr>
        <w:spacing w:lineRule="auto" w:line="360"/>
        <w:ind w:hanging="360" w:start="360" w:end="186"/>
        <w:rPr>
          <w:color w:val="7030A0"/>
          <w:kern w:val="2"/>
          <w14:ligatures w14:val="standardContextual"/>
        </w:rPr>
      </w:pPr>
      <w:r>
        <w:rPr>
          <w:b/>
          <w:bCs/>
          <w:color w:val="7030A0"/>
        </w:rPr>
        <w:t>Accepted</w:t>
      </w:r>
      <w:r>
        <w:rPr>
          <w:color w:val="7030A0"/>
        </w:rPr>
        <w:t>: Publications that have been accepted or are in press.</w:t>
      </w:r>
    </w:p>
    <w:p>
      <w:pPr>
        <w:pStyle w:val="BodyText"/>
        <w:numPr>
          <w:ilvl w:val="0"/>
          <w:numId w:val="3"/>
        </w:numPr>
        <w:spacing w:lineRule="auto" w:line="360"/>
        <w:ind w:hanging="360" w:start="360" w:end="186"/>
        <w:rPr>
          <w:color w:val="7030A0"/>
          <w:kern w:val="2"/>
          <w14:ligatures w14:val="standardContextual"/>
        </w:rPr>
      </w:pPr>
      <w:r>
        <w:rPr>
          <w:b/>
          <w:bCs/>
          <w:color w:val="7030A0"/>
        </w:rPr>
        <w:t>Submitted</w:t>
      </w:r>
      <w:r>
        <w:rPr>
          <w:color w:val="7030A0"/>
        </w:rPr>
        <w:t>: Manuscripts submitted for publication that are currently awaiting review outcomes.</w:t>
      </w:r>
    </w:p>
    <w:p>
      <w:pPr>
        <w:pStyle w:val="BodyText"/>
        <w:numPr>
          <w:ilvl w:val="0"/>
          <w:numId w:val="3"/>
        </w:numPr>
        <w:spacing w:lineRule="auto" w:line="360"/>
        <w:ind w:hanging="360" w:start="360" w:end="186"/>
        <w:rPr>
          <w:color w:val="7030A0"/>
        </w:rPr>
      </w:pPr>
      <w:r>
        <w:rPr>
          <w:b/>
          <w:bCs/>
          <w:color w:val="7030A0"/>
        </w:rPr>
        <w:t>Drafted</w:t>
      </w:r>
      <w:r>
        <w:rPr>
          <w:color w:val="7030A0"/>
        </w:rPr>
        <w:t>: Manuscripts that are in draft form.</w:t>
      </w:r>
    </w:p>
    <w:p>
      <w:pPr>
        <w:pStyle w:val="BodyText"/>
        <w:spacing w:lineRule="auto" w:line="360"/>
        <w:rPr>
          <w:color w:val="7030A0"/>
          <w:kern w:val="2"/>
          <w14:ligatures w14:val="standardContextual"/>
        </w:rPr>
      </w:pPr>
      <w:r>
        <w:rPr>
          <w:color w:val="7030A0"/>
          <w:kern w:val="2"/>
          <w14:ligatures w14:val="standardContextual"/>
        </w:rPr>
      </w:r>
    </w:p>
    <w:p>
      <w:pPr>
        <w:pStyle w:val="BodyText"/>
        <w:spacing w:lineRule="auto" w:line="360"/>
        <w:rPr>
          <w:color w:val="7030A0"/>
          <w:kern w:val="2"/>
          <w14:ligatures w14:val="standardContextual"/>
        </w:rPr>
      </w:pPr>
      <w:r>
        <w:rPr>
          <w:color w:val="7030A0"/>
          <w:kern w:val="2"/>
          <w14:ligatures w14:val="standardContextual"/>
        </w:rPr>
        <w:t xml:space="preserve">Exclude any sub-headings that are not relevant. </w:t>
      </w:r>
      <w:r>
        <w:rPr>
          <w:color w:val="7030A0"/>
        </w:rPr>
        <w:t>If you have not included any of your publications in the thesis then state “No publications included”.</w:t>
      </w:r>
    </w:p>
    <w:p>
      <w:pPr>
        <w:pStyle w:val="BodyText"/>
        <w:spacing w:lineRule="auto" w:line="360"/>
        <w:rPr>
          <w:color w:val="7030A0"/>
          <w:kern w:val="2"/>
          <w14:ligatures w14:val="standardContextual"/>
        </w:rPr>
      </w:pPr>
      <w:r>
        <w:rPr>
          <w:color w:val="7030A0"/>
          <w:kern w:val="2"/>
          <w14:ligatures w14:val="standardContextual"/>
        </w:rPr>
      </w:r>
    </w:p>
    <w:p>
      <w:pPr>
        <w:pStyle w:val="BodyText"/>
        <w:spacing w:lineRule="auto" w:line="360"/>
        <w:rPr>
          <w:color w:val="7030A0"/>
          <w:kern w:val="2"/>
          <w14:ligatures w14:val="standardContextual"/>
        </w:rPr>
      </w:pPr>
      <w:r>
        <w:rPr>
          <w:color w:val="7030A0"/>
          <w:kern w:val="2"/>
          <w14:ligatures w14:val="standardContextual"/>
        </w:rPr>
        <w:t>Additional important considerations:</w:t>
      </w:r>
    </w:p>
    <w:p>
      <w:pPr>
        <w:pStyle w:val="BodyText"/>
        <w:numPr>
          <w:ilvl w:val="0"/>
          <w:numId w:val="5"/>
        </w:numPr>
        <w:spacing w:lineRule="auto" w:line="360"/>
        <w:rPr>
          <w:color w:val="7030A0"/>
          <w:kern w:val="2"/>
          <w14:ligatures w14:val="standardContextual"/>
        </w:rPr>
      </w:pPr>
      <w:r>
        <w:rPr>
          <w:color w:val="7030A0"/>
          <w:kern w:val="2"/>
          <w14:ligatures w14:val="standardContextual"/>
        </w:rPr>
        <w:t>Research contributing to scholarly work that is included in the thesis must have been conducted during candidature. Works published prior to or after candidature cannot be included in the thesis.</w:t>
      </w:r>
    </w:p>
    <w:p>
      <w:pPr>
        <w:pStyle w:val="BodyText"/>
        <w:numPr>
          <w:ilvl w:val="0"/>
          <w:numId w:val="5"/>
        </w:numPr>
        <w:spacing w:lineRule="auto" w:line="360"/>
        <w:rPr>
          <w:color w:val="7030A0"/>
          <w:kern w:val="2"/>
          <w14:ligatures w14:val="standardContextual"/>
        </w:rPr>
      </w:pPr>
      <w:r>
        <w:rPr>
          <w:color w:val="7030A0"/>
          <w:kern w:val="2"/>
          <w14:ligatures w14:val="standardContextual"/>
        </w:rPr>
        <w:t>At a minimum, any thesis that includes publications must contain:</w:t>
      </w:r>
    </w:p>
    <w:p>
      <w:pPr>
        <w:pStyle w:val="BodyText"/>
        <w:numPr>
          <w:ilvl w:val="0"/>
          <w:numId w:val="6"/>
        </w:numPr>
        <w:spacing w:lineRule="auto" w:line="360"/>
        <w:rPr>
          <w:color w:val="7030A0"/>
          <w:kern w:val="2"/>
          <w14:ligatures w14:val="standardContextual"/>
        </w:rPr>
      </w:pPr>
      <w:r>
        <w:rPr>
          <w:color w:val="7030A0"/>
          <w:kern w:val="2"/>
          <w14:ligatures w14:val="standardContextual"/>
        </w:rPr>
        <w:t>an independent introduction that contextualises the research project in relation to the present state of the knowledge in the field</w:t>
      </w:r>
    </w:p>
    <w:p>
      <w:pPr>
        <w:pStyle w:val="BodyText"/>
        <w:numPr>
          <w:ilvl w:val="0"/>
          <w:numId w:val="6"/>
        </w:numPr>
        <w:spacing w:lineRule="auto" w:line="360"/>
        <w:rPr>
          <w:color w:val="7030A0"/>
          <w:kern w:val="2"/>
          <w14:ligatures w14:val="standardContextual"/>
        </w:rPr>
      </w:pPr>
      <w:r>
        <w:rPr>
          <w:color w:val="7030A0"/>
          <w:kern w:val="2"/>
          <w14:ligatures w14:val="standardContextual"/>
        </w:rPr>
        <w:t>thesis chapters (i.e. publications) in a logical and cogent sequence leading to an argument that supports the main findings of the thesis</w:t>
      </w:r>
    </w:p>
    <w:p>
      <w:pPr>
        <w:pStyle w:val="BodyText"/>
        <w:numPr>
          <w:ilvl w:val="0"/>
          <w:numId w:val="6"/>
        </w:numPr>
        <w:spacing w:lineRule="auto" w:line="360"/>
        <w:rPr>
          <w:color w:val="7030A0"/>
          <w:kern w:val="2"/>
          <w14:ligatures w14:val="standardContextual"/>
        </w:rPr>
      </w:pPr>
      <w:r>
        <w:rPr>
          <w:color w:val="7030A0"/>
          <w:kern w:val="2"/>
          <w14:ligatures w14:val="standardContextual"/>
        </w:rPr>
        <w:t>an independent and original discussion that integrates the significant findings of the thesis.</w:t>
      </w:r>
    </w:p>
    <w:p>
      <w:pPr>
        <w:pStyle w:val="BodyText"/>
        <w:numPr>
          <w:ilvl w:val="0"/>
          <w:numId w:val="5"/>
        </w:numPr>
        <w:spacing w:lineRule="auto" w:line="360"/>
        <w:rPr>
          <w:color w:val="7030A0"/>
          <w:kern w:val="2"/>
          <w14:ligatures w14:val="standardContextual"/>
        </w:rPr>
      </w:pPr>
      <w:r>
        <w:rPr>
          <w:color w:val="7030A0"/>
          <w:kern w:val="2"/>
          <w14:ligatures w14:val="standardContextual"/>
        </w:rPr>
        <w:t>Accepted or published works included in the thesis must be presented as the final author-submitted manuscript, not in the journal's published format.</w:t>
      </w:r>
    </w:p>
    <w:p>
      <w:pPr>
        <w:pStyle w:val="BodyText"/>
        <w:numPr>
          <w:ilvl w:val="0"/>
          <w:numId w:val="5"/>
        </w:numPr>
        <w:spacing w:lineRule="auto" w:line="360"/>
        <w:rPr>
          <w:color w:val="7030A0"/>
          <w:kern w:val="2"/>
          <w14:ligatures w14:val="standardContextual"/>
        </w:rPr>
      </w:pPr>
      <w:r>
        <w:rPr>
          <w:color w:val="7030A0"/>
          <w:kern w:val="2"/>
          <w14:ligatures w14:val="standardContextual"/>
        </w:rPr>
        <w:t>Permission must be obtained to reproduce copyright material in the thesis unless, as part of the publication process, permission has already been granted. A statement attesting to copyright permission must be explicitly included in the thesis.</w:t>
      </w:r>
    </w:p>
    <w:p>
      <w:pPr>
        <w:pStyle w:val="BodyText"/>
        <w:numPr>
          <w:ilvl w:val="0"/>
          <w:numId w:val="5"/>
        </w:numPr>
        <w:spacing w:lineRule="auto" w:line="360"/>
        <w:rPr>
          <w:color w:val="7030A0"/>
          <w:kern w:val="2"/>
          <w14:ligatures w14:val="standardContextual"/>
        </w:rPr>
      </w:pPr>
      <w:r>
        <w:rPr>
          <w:color w:val="7030A0"/>
          <w:kern w:val="2"/>
          <w14:ligatures w14:val="standardContextual"/>
        </w:rPr>
        <w:t>The presence of peer-reviewed published works within the thesis does not pre-empt or negate the examiners' assessment of the quality of this work within the thesis, nor does it preclude amendments to the thesis based on the examiners' feedback.</w:t>
      </w:r>
    </w:p>
    <w:p>
      <w:pPr>
        <w:pStyle w:val="BodyText"/>
        <w:spacing w:lineRule="auto" w:line="360"/>
        <w:rPr>
          <w:kern w:val="2"/>
          <w14:ligatures w14:val="standardContextual"/>
        </w:rPr>
      </w:pPr>
      <w:r>
        <w:rPr>
          <w:kern w:val="2"/>
          <w14:ligatures w14:val="standardContextual"/>
        </w:rPr>
      </w:r>
    </w:p>
    <w:p>
      <w:pPr>
        <w:pStyle w:val="Normal"/>
        <w:spacing w:lineRule="auto" w:line="360"/>
        <w:rPr>
          <w:b/>
          <w:bCs/>
          <w:sz w:val="36"/>
          <w:szCs w:val="36"/>
        </w:rPr>
      </w:pPr>
      <w:r>
        <w:rPr>
          <w:b/>
          <w:bCs/>
          <w:sz w:val="36"/>
          <w:szCs w:val="36"/>
        </w:rPr>
        <w:t>Other Publications During Candidature</w:t>
      </w:r>
    </w:p>
    <w:p>
      <w:pPr>
        <w:pStyle w:val="BodyText"/>
        <w:spacing w:lineRule="auto" w:line="360"/>
        <w:ind w:end="3"/>
        <w:rPr>
          <w:kern w:val="2"/>
          <w14:ligatures w14:val="standardContextual"/>
        </w:rPr>
      </w:pPr>
      <w:r>
        <w:rPr>
          <w:kern w:val="2"/>
          <w14:ligatures w14:val="standardContextual"/>
        </w:rPr>
      </w:r>
    </w:p>
    <w:p>
      <w:pPr>
        <w:pStyle w:val="BodyText"/>
        <w:spacing w:lineRule="auto" w:line="360"/>
        <w:rPr>
          <w:color w:val="7030A0"/>
        </w:rPr>
      </w:pPr>
      <w:r>
        <w:rPr>
          <w:color w:val="7030A0"/>
        </w:rPr>
        <w:t xml:space="preserve">List other publications authored during your candidature that are not included in this thesis using the appropriate </w:t>
      </w:r>
      <w:hyperlink r:id="rId10">
        <w:r>
          <w:rPr>
            <w:rStyle w:val="Hyperlink"/>
          </w:rPr>
          <w:t>referencing style</w:t>
        </w:r>
      </w:hyperlink>
      <w:r>
        <w:rPr>
          <w:color w:val="7030A0"/>
        </w:rPr>
        <w:t xml:space="preserve"> for your discipline.</w:t>
      </w:r>
      <w:r>
        <w:rPr>
          <w:color w:val="7030A0"/>
          <w:kern w:val="2"/>
          <w14:ligatures w14:val="standardContextual"/>
        </w:rPr>
        <w:t xml:space="preserve"> </w:t>
      </w:r>
      <w:r>
        <w:rPr>
          <w:color w:val="7030A0"/>
        </w:rPr>
        <w:t>If in doubt, seek advice from your advisory team.</w:t>
      </w:r>
    </w:p>
    <w:p>
      <w:pPr>
        <w:pStyle w:val="BodyText"/>
        <w:spacing w:lineRule="auto" w:line="360"/>
        <w:ind w:end="186"/>
        <w:rPr>
          <w:color w:val="7030A0"/>
          <w:kern w:val="2"/>
          <w14:ligatures w14:val="standardContextual"/>
        </w:rPr>
      </w:pPr>
      <w:r>
        <w:rPr>
          <w:color w:val="7030A0"/>
          <w:kern w:val="2"/>
          <w14:ligatures w14:val="standardContextual"/>
        </w:rPr>
      </w:r>
    </w:p>
    <w:p>
      <w:pPr>
        <w:pStyle w:val="BodyText"/>
        <w:spacing w:lineRule="auto" w:line="360"/>
        <w:ind w:end="186"/>
        <w:rPr>
          <w:color w:val="7030A0"/>
          <w:kern w:val="2"/>
          <w14:ligatures w14:val="standardContextual"/>
        </w:rPr>
      </w:pPr>
      <w:r>
        <w:rPr>
          <w:color w:val="7030A0"/>
          <w:kern w:val="2"/>
          <w14:ligatures w14:val="standardContextual"/>
        </w:rPr>
        <w:t>Arrange your publications under the following four sub-headings:</w:t>
      </w:r>
    </w:p>
    <w:p>
      <w:pPr>
        <w:pStyle w:val="BodyText"/>
        <w:numPr>
          <w:ilvl w:val="0"/>
          <w:numId w:val="3"/>
        </w:numPr>
        <w:spacing w:lineRule="auto" w:line="360"/>
        <w:ind w:hanging="360" w:start="360" w:end="186"/>
        <w:rPr>
          <w:color w:val="7030A0"/>
        </w:rPr>
      </w:pPr>
      <w:r>
        <w:rPr>
          <w:b/>
          <w:bCs/>
          <w:color w:val="7030A0"/>
          <w:kern w:val="2"/>
          <w14:ligatures w14:val="standardContextual"/>
        </w:rPr>
        <w:t>Published</w:t>
      </w:r>
      <w:r>
        <w:rPr>
          <w:color w:val="7030A0"/>
          <w:kern w:val="2"/>
          <w14:ligatures w14:val="standardContextual"/>
        </w:rPr>
        <w:t xml:space="preserve">: </w:t>
      </w:r>
      <w:r>
        <w:rPr>
          <w:color w:val="7030A0"/>
        </w:rPr>
        <w:t xml:space="preserve">Any </w:t>
      </w:r>
      <w:r>
        <w:rPr>
          <w:color w:val="7030A0"/>
          <w:kern w:val="2"/>
          <w14:ligatures w14:val="standardContextual"/>
        </w:rPr>
        <w:t>publications that have been formally published.</w:t>
      </w:r>
    </w:p>
    <w:p>
      <w:pPr>
        <w:pStyle w:val="BodyText"/>
        <w:numPr>
          <w:ilvl w:val="0"/>
          <w:numId w:val="3"/>
        </w:numPr>
        <w:spacing w:lineRule="auto" w:line="360"/>
        <w:ind w:hanging="360" w:start="360" w:end="186"/>
        <w:rPr>
          <w:color w:val="7030A0"/>
          <w:kern w:val="2"/>
          <w14:ligatures w14:val="standardContextual"/>
        </w:rPr>
      </w:pPr>
      <w:r>
        <w:rPr>
          <w:b/>
          <w:bCs/>
          <w:color w:val="7030A0"/>
          <w:kern w:val="2"/>
          <w14:ligatures w14:val="standardContextual"/>
        </w:rPr>
        <w:t>Accepted</w:t>
      </w:r>
      <w:r>
        <w:rPr>
          <w:color w:val="7030A0"/>
          <w:kern w:val="2"/>
          <w14:ligatures w14:val="standardContextual"/>
        </w:rPr>
        <w:t>: Publications that have been accepted or are in press.</w:t>
      </w:r>
    </w:p>
    <w:p>
      <w:pPr>
        <w:pStyle w:val="BodyText"/>
        <w:numPr>
          <w:ilvl w:val="0"/>
          <w:numId w:val="3"/>
        </w:numPr>
        <w:spacing w:lineRule="auto" w:line="360"/>
        <w:ind w:hanging="360" w:start="360" w:end="186"/>
        <w:rPr>
          <w:color w:val="7030A0"/>
          <w:kern w:val="2"/>
          <w14:ligatures w14:val="standardContextual"/>
        </w:rPr>
      </w:pPr>
      <w:r>
        <w:rPr>
          <w:b/>
          <w:bCs/>
          <w:color w:val="7030A0"/>
          <w:kern w:val="2"/>
          <w14:ligatures w14:val="standardContextual"/>
        </w:rPr>
        <w:t>Submitted</w:t>
      </w:r>
      <w:r>
        <w:rPr>
          <w:color w:val="7030A0"/>
          <w:kern w:val="2"/>
          <w14:ligatures w14:val="standardContextual"/>
        </w:rPr>
        <w:t>: Manuscripts submitted for publication that are currently awaiting review outcomes.</w:t>
      </w:r>
    </w:p>
    <w:p>
      <w:pPr>
        <w:pStyle w:val="BodyText"/>
        <w:numPr>
          <w:ilvl w:val="0"/>
          <w:numId w:val="3"/>
        </w:numPr>
        <w:spacing w:lineRule="auto" w:line="360"/>
        <w:ind w:hanging="360" w:start="360" w:end="186"/>
        <w:rPr>
          <w:color w:val="7030A0"/>
          <w:kern w:val="2"/>
          <w14:ligatures w14:val="standardContextual"/>
        </w:rPr>
      </w:pPr>
      <w:r>
        <w:rPr>
          <w:b/>
          <w:bCs/>
          <w:color w:val="7030A0"/>
          <w:kern w:val="2"/>
          <w14:ligatures w14:val="standardContextual"/>
        </w:rPr>
        <w:t>Drafted</w:t>
      </w:r>
      <w:r>
        <w:rPr>
          <w:color w:val="7030A0"/>
          <w:kern w:val="2"/>
          <w14:ligatures w14:val="standardContextual"/>
        </w:rPr>
        <w:t>: Manuscripts that are in draft form.</w:t>
      </w:r>
    </w:p>
    <w:p>
      <w:pPr>
        <w:pStyle w:val="BodyText"/>
        <w:spacing w:lineRule="auto" w:line="360"/>
        <w:rPr>
          <w:color w:val="7030A0"/>
          <w:kern w:val="2"/>
          <w14:ligatures w14:val="standardContextual"/>
        </w:rPr>
      </w:pPr>
      <w:r>
        <w:rPr>
          <w:color w:val="7030A0"/>
          <w:kern w:val="2"/>
          <w14:ligatures w14:val="standardContextual"/>
        </w:rPr>
      </w:r>
    </w:p>
    <w:p>
      <w:pPr>
        <w:pStyle w:val="BodyText"/>
        <w:spacing w:lineRule="auto" w:line="360"/>
        <w:rPr>
          <w:color w:val="7030A0"/>
          <w:kern w:val="2"/>
          <w14:ligatures w14:val="standardContextual"/>
        </w:rPr>
      </w:pPr>
      <w:r>
        <w:rPr>
          <w:color w:val="7030A0"/>
          <w:kern w:val="2"/>
          <w14:ligatures w14:val="standardContextual"/>
        </w:rPr>
        <w:t xml:space="preserve">Exclude any sub-headings that are not relevant. </w:t>
      </w:r>
      <w:r>
        <w:rPr>
          <w:color w:val="7030A0"/>
        </w:rPr>
        <w:t xml:space="preserve">If you have not </w:t>
      </w:r>
      <w:r>
        <w:rPr>
          <w:color w:val="7030A0"/>
          <w:kern w:val="2"/>
          <w14:ligatures w14:val="standardContextual"/>
        </w:rPr>
        <w:t>authored other</w:t>
      </w:r>
      <w:r>
        <w:rPr>
          <w:color w:val="7030A0"/>
        </w:rPr>
        <w:t xml:space="preserve"> publications </w:t>
      </w:r>
      <w:r>
        <w:rPr>
          <w:color w:val="7030A0"/>
          <w:kern w:val="2"/>
          <w14:ligatures w14:val="standardContextual"/>
        </w:rPr>
        <w:t>during your candidature,</w:t>
      </w:r>
      <w:r>
        <w:rPr>
          <w:color w:val="7030A0"/>
        </w:rPr>
        <w:t xml:space="preserve"> then state “No </w:t>
      </w:r>
      <w:r>
        <w:rPr>
          <w:color w:val="7030A0"/>
          <w:kern w:val="2"/>
          <w14:ligatures w14:val="standardContextual"/>
        </w:rPr>
        <w:t xml:space="preserve">other </w:t>
      </w:r>
      <w:r>
        <w:rPr>
          <w:color w:val="7030A0"/>
        </w:rPr>
        <w:t>publications”.</w:t>
      </w:r>
    </w:p>
    <w:p>
      <w:pPr>
        <w:pStyle w:val="Normal"/>
        <w:rPr>
          <w:color w:val="7030A0"/>
          <w:sz w:val="24"/>
          <w:szCs w:val="24"/>
        </w:rPr>
      </w:pPr>
      <w:r>
        <w:rPr>
          <w:color w:val="7030A0"/>
          <w:sz w:val="24"/>
          <w:szCs w:val="24"/>
        </w:rPr>
      </w:r>
      <w:r>
        <w:br w:type="page"/>
      </w:r>
    </w:p>
    <w:p>
      <w:pPr>
        <w:pStyle w:val="Normal"/>
        <w:spacing w:lineRule="auto" w:line="360" w:before="0" w:after="0"/>
        <w:rPr>
          <w:b/>
          <w:bCs/>
          <w:sz w:val="36"/>
          <w:szCs w:val="36"/>
        </w:rPr>
      </w:pPr>
      <w:r>
        <w:rPr>
          <w:b/>
          <w:bCs/>
          <w:sz w:val="36"/>
          <w:szCs w:val="36"/>
        </w:rPr>
        <w:t>Contributions by Others to This Thesis</w:t>
      </w:r>
    </w:p>
    <w:p>
      <w:pPr>
        <w:pStyle w:val="Normal"/>
        <w:spacing w:lineRule="auto" w:line="360"/>
        <w:rPr>
          <w:color w:val="7030A0"/>
          <w:kern w:val="2"/>
          <w:sz w:val="24"/>
          <w:szCs w:val="24"/>
          <w14:ligatures w14:val="standardContextual"/>
        </w:rPr>
      </w:pPr>
      <w:r>
        <w:rPr>
          <w:color w:val="7030A0"/>
          <w:kern w:val="2"/>
          <w:sz w:val="24"/>
          <w:szCs w:val="24"/>
          <w14:ligatures w14:val="standardContextual"/>
        </w:rPr>
      </w:r>
    </w:p>
    <w:p>
      <w:pPr>
        <w:pStyle w:val="Normal"/>
        <w:spacing w:lineRule="auto" w:line="360"/>
        <w:rPr>
          <w:color w:val="7030A0"/>
          <w:kern w:val="2"/>
          <w14:ligatures w14:val="standardContextual"/>
        </w:rPr>
      </w:pPr>
      <w:r>
        <w:rPr>
          <w:color w:val="7030A0"/>
          <w:kern w:val="2"/>
          <w:sz w:val="24"/>
          <w:szCs w:val="24"/>
          <w14:ligatures w14:val="standardContextual"/>
        </w:rPr>
        <w:t>Start this section on a new page.</w:t>
      </w:r>
    </w:p>
    <w:p>
      <w:pPr>
        <w:pStyle w:val="Normal"/>
        <w:spacing w:lineRule="auto" w:line="360"/>
        <w:rPr>
          <w:kern w:val="2"/>
          <w:sz w:val="24"/>
          <w:szCs w:val="24"/>
          <w14:ligatures w14:val="standardContextual"/>
        </w:rPr>
      </w:pPr>
      <w:r>
        <w:rPr>
          <w:kern w:val="2"/>
          <w:sz w:val="24"/>
          <w:szCs w:val="24"/>
          <w14:ligatures w14:val="standardContextual"/>
        </w:rPr>
      </w:r>
    </w:p>
    <w:p>
      <w:pPr>
        <w:pStyle w:val="Normal"/>
        <w:spacing w:lineRule="auto" w:line="360"/>
        <w:rPr>
          <w:color w:val="7030A0"/>
          <w:kern w:val="2"/>
          <w:sz w:val="24"/>
          <w:szCs w:val="24"/>
          <w14:ligatures w14:val="standardContextual"/>
        </w:rPr>
      </w:pPr>
      <w:r>
        <w:rPr>
          <w:color w:val="7030A0"/>
          <w:kern w:val="2"/>
          <w:sz w:val="24"/>
          <w:szCs w:val="24"/>
          <w14:ligatures w14:val="standardContextual"/>
        </w:rPr>
        <w:t xml:space="preserve">The HDR thesis must be your original work. You must explicitly acknowledge any contributions or support received from others, clearly indicating the nature and extent of their involvement. Your contributions to </w:t>
      </w:r>
      <w:r>
        <w:rPr>
          <w:color w:val="7030A0"/>
          <w:sz w:val="24"/>
          <w:szCs w:val="24"/>
        </w:rPr>
        <w:t xml:space="preserve">each </w:t>
      </w:r>
      <w:r>
        <w:rPr>
          <w:color w:val="7030A0"/>
          <w:kern w:val="2"/>
          <w:sz w:val="24"/>
          <w:szCs w:val="24"/>
          <w14:ligatures w14:val="standardContextual"/>
        </w:rPr>
        <w:t xml:space="preserve">chapter must satisfy the University’s </w:t>
      </w:r>
      <w:hyperlink r:id="rId11">
        <w:r>
          <w:rPr>
            <w:rStyle w:val="Hyperlink"/>
            <w:sz w:val="24"/>
            <w:szCs w:val="24"/>
          </w:rPr>
          <w:t xml:space="preserve">Authorship </w:t>
        </w:r>
        <w:r>
          <w:rPr>
            <w:rStyle w:val="Hyperlink"/>
            <w:kern w:val="2"/>
            <w:sz w:val="24"/>
            <w:szCs w:val="24"/>
            <w14:ligatures w14:val="standardContextual"/>
          </w:rPr>
          <w:t>Procedure</w:t>
        </w:r>
      </w:hyperlink>
      <w:r>
        <w:rPr>
          <w:color w:val="7030A0"/>
          <w:kern w:val="2"/>
          <w:sz w:val="24"/>
          <w:szCs w:val="24"/>
          <w14:ligatures w14:val="standardContextual"/>
        </w:rPr>
        <w:t xml:space="preserve"> </w:t>
      </w:r>
      <w:r>
        <w:rPr>
          <w:color w:val="7030A0"/>
          <w:sz w:val="24"/>
          <w:szCs w:val="24"/>
        </w:rPr>
        <w:t xml:space="preserve">and the </w:t>
      </w:r>
      <w:hyperlink r:id="rId12">
        <w:r>
          <w:rPr>
            <w:rStyle w:val="Hyperlink"/>
            <w:sz w:val="24"/>
            <w:szCs w:val="24"/>
          </w:rPr>
          <w:t>HDR Examination Procedure</w:t>
        </w:r>
      </w:hyperlink>
      <w:r>
        <w:rPr>
          <w:color w:val="7030A0"/>
          <w:sz w:val="24"/>
          <w:szCs w:val="24"/>
        </w:rPr>
        <w:t xml:space="preserve">. </w:t>
      </w:r>
    </w:p>
    <w:p>
      <w:pPr>
        <w:pStyle w:val="BodyText"/>
        <w:spacing w:lineRule="auto" w:line="360"/>
        <w:rPr>
          <w:color w:val="7030A0"/>
          <w:kern w:val="2"/>
          <w14:ligatures w14:val="standardContextual"/>
        </w:rPr>
      </w:pPr>
      <w:r>
        <w:rPr>
          <w:color w:val="7030A0"/>
          <w:kern w:val="2"/>
          <w14:ligatures w14:val="standardContextual"/>
        </w:rPr>
      </w:r>
    </w:p>
    <w:p>
      <w:pPr>
        <w:pStyle w:val="Normal"/>
        <w:widowControl/>
        <w:spacing w:lineRule="auto" w:line="360"/>
        <w:rPr>
          <w:color w:val="7030A0"/>
          <w:lang w:eastAsia="en-GB"/>
        </w:rPr>
      </w:pPr>
      <w:r>
        <w:rPr>
          <w:color w:val="7030A0"/>
          <w:sz w:val="24"/>
          <w:szCs w:val="24"/>
          <w:lang w:eastAsia="en-GB"/>
        </w:rPr>
        <w:t>Your contribution should be substantial and cover at least one, and usually several, of the following areas:</w:t>
      </w:r>
    </w:p>
    <w:p>
      <w:pPr>
        <w:pStyle w:val="ListParagraph"/>
        <w:numPr>
          <w:ilvl w:val="0"/>
          <w:numId w:val="2"/>
        </w:numPr>
        <w:tabs>
          <w:tab w:val="clear" w:pos="720"/>
          <w:tab w:val="left" w:pos="747" w:leader="none"/>
        </w:tabs>
        <w:spacing w:lineRule="auto" w:line="360"/>
        <w:rPr>
          <w:color w:val="7030A0"/>
          <w:kern w:val="2"/>
          <w:sz w:val="24"/>
          <w:szCs w:val="24"/>
          <w14:ligatures w14:val="standardContextual"/>
        </w:rPr>
      </w:pPr>
      <w:r>
        <w:rPr>
          <w:color w:val="7030A0"/>
          <w:kern w:val="2"/>
          <w:sz w:val="24"/>
          <w:szCs w:val="24"/>
          <w14:ligatures w14:val="standardContextual"/>
        </w:rPr>
        <w:t>conception and design of the project;</w:t>
      </w:r>
    </w:p>
    <w:p>
      <w:pPr>
        <w:pStyle w:val="ListParagraph"/>
        <w:numPr>
          <w:ilvl w:val="0"/>
          <w:numId w:val="2"/>
        </w:numPr>
        <w:tabs>
          <w:tab w:val="clear" w:pos="720"/>
          <w:tab w:val="left" w:pos="747" w:leader="none"/>
        </w:tabs>
        <w:spacing w:lineRule="auto" w:line="360"/>
        <w:rPr>
          <w:color w:val="7030A0"/>
          <w:kern w:val="2"/>
          <w:sz w:val="24"/>
          <w:szCs w:val="24"/>
          <w14:ligatures w14:val="standardContextual"/>
        </w:rPr>
      </w:pPr>
      <w:r>
        <w:rPr>
          <w:color w:val="7030A0"/>
          <w:kern w:val="2"/>
          <w:sz w:val="24"/>
          <w:szCs w:val="24"/>
          <w14:ligatures w14:val="standardContextual"/>
        </w:rPr>
        <w:t>acquisition of research data where the acquisition has required significant intellectual judgement, planning, design, or input;</w:t>
      </w:r>
    </w:p>
    <w:p>
      <w:pPr>
        <w:pStyle w:val="ListParagraph"/>
        <w:numPr>
          <w:ilvl w:val="0"/>
          <w:numId w:val="2"/>
        </w:numPr>
        <w:tabs>
          <w:tab w:val="clear" w:pos="720"/>
          <w:tab w:val="left" w:pos="747" w:leader="none"/>
        </w:tabs>
        <w:spacing w:lineRule="auto" w:line="360"/>
        <w:rPr>
          <w:color w:val="7030A0"/>
          <w:kern w:val="2"/>
          <w14:ligatures w14:val="standardContextual"/>
        </w:rPr>
      </w:pPr>
      <w:r>
        <w:rPr>
          <w:color w:val="7030A0"/>
          <w:kern w:val="2"/>
          <w:sz w:val="24"/>
          <w:szCs w:val="24"/>
          <w14:ligatures w14:val="standardContextual"/>
        </w:rPr>
        <w:t>analysis and interpretation of the research data on which the publication is based;</w:t>
      </w:r>
    </w:p>
    <w:p>
      <w:pPr>
        <w:pStyle w:val="ListParagraph"/>
        <w:numPr>
          <w:ilvl w:val="0"/>
          <w:numId w:val="2"/>
        </w:numPr>
        <w:tabs>
          <w:tab w:val="clear" w:pos="720"/>
          <w:tab w:val="left" w:pos="747" w:leader="none"/>
        </w:tabs>
        <w:spacing w:lineRule="auto" w:line="360"/>
        <w:ind w:hanging="297" w:start="297" w:end="198"/>
        <w:rPr>
          <w:color w:val="7030A0"/>
          <w:kern w:val="2"/>
          <w:sz w:val="24"/>
          <w:szCs w:val="24"/>
          <w14:ligatures w14:val="standardContextual"/>
        </w:rPr>
      </w:pPr>
      <w:r>
        <w:rPr>
          <w:color w:val="7030A0"/>
          <w:kern w:val="2"/>
          <w:sz w:val="24"/>
          <w:szCs w:val="24"/>
          <w14:ligatures w14:val="standardContextual"/>
        </w:rPr>
        <w:t>drafting significant parts of the publication or critically reviewing it to contribute to the interpretation.</w:t>
      </w:r>
    </w:p>
    <w:p>
      <w:pPr>
        <w:pStyle w:val="BodyText"/>
        <w:spacing w:lineRule="auto" w:line="360"/>
        <w:ind w:end="198"/>
        <w:rPr>
          <w:color w:val="7030A0"/>
          <w:kern w:val="2"/>
          <w14:ligatures w14:val="standardContextual"/>
        </w:rPr>
      </w:pPr>
      <w:r>
        <w:rPr>
          <w:color w:val="7030A0"/>
          <w:kern w:val="2"/>
          <w14:ligatures w14:val="standardContextual"/>
        </w:rPr>
      </w:r>
    </w:p>
    <w:p>
      <w:pPr>
        <w:pStyle w:val="BodyText"/>
        <w:spacing w:lineRule="auto" w:line="360"/>
        <w:ind w:firstLine="5" w:end="198"/>
        <w:rPr>
          <w:color w:val="7030A0"/>
          <w:kern w:val="2"/>
          <w14:ligatures w14:val="standardContextual"/>
        </w:rPr>
      </w:pPr>
      <w:r>
        <w:rPr>
          <w:color w:val="7030A0"/>
          <w:kern w:val="2"/>
          <w14:ligatures w14:val="standardContextual"/>
        </w:rPr>
        <w:t>How to present the contributions of all collaborators:</w:t>
      </w:r>
    </w:p>
    <w:p>
      <w:pPr>
        <w:pStyle w:val="BodyText"/>
        <w:numPr>
          <w:ilvl w:val="0"/>
          <w:numId w:val="4"/>
        </w:numPr>
        <w:spacing w:lineRule="auto" w:line="360"/>
        <w:ind w:hanging="360" w:start="365" w:end="198"/>
        <w:rPr>
          <w:color w:val="7030A0"/>
          <w:kern w:val="2"/>
          <w14:ligatures w14:val="standardContextual"/>
        </w:rPr>
      </w:pPr>
      <w:r>
        <w:rPr>
          <w:color w:val="7030A0"/>
          <w:kern w:val="2"/>
          <w14:ligatures w14:val="standardContextual"/>
        </w:rPr>
        <w:t>For every chapter based on a collaborative publication, include a table summarising each author’s contributions in four key areas: conceptualisation, data collection, analysis, and writing. Estimate the percentage of work performed by each contributor, ensuring that each column totals 100% to represent the full contribution for that area.</w:t>
      </w:r>
    </w:p>
    <w:p>
      <w:pPr>
        <w:pStyle w:val="BodyText"/>
        <w:numPr>
          <w:ilvl w:val="0"/>
          <w:numId w:val="4"/>
        </w:numPr>
        <w:spacing w:lineRule="auto" w:line="360"/>
        <w:ind w:hanging="360" w:start="365" w:end="198"/>
        <w:rPr>
          <w:color w:val="7030A0"/>
          <w:kern w:val="2"/>
          <w:lang w:eastAsia="en-GB"/>
          <w14:ligatures w14:val="standardContextual"/>
        </w:rPr>
      </w:pPr>
      <w:r>
        <w:rPr>
          <w:color w:val="7030A0"/>
          <w:lang w:eastAsia="en-GB"/>
        </w:rPr>
        <w:t>Ensure that you are the primary contributor or lead author for all publications included in your thesis.</w:t>
      </w:r>
    </w:p>
    <w:p>
      <w:pPr>
        <w:pStyle w:val="BodyText"/>
        <w:numPr>
          <w:ilvl w:val="0"/>
          <w:numId w:val="4"/>
        </w:numPr>
        <w:spacing w:lineRule="auto" w:line="360"/>
        <w:ind w:hanging="360" w:start="365" w:end="198"/>
        <w:rPr>
          <w:color w:val="7030A0"/>
          <w:kern w:val="2"/>
          <w14:ligatures w14:val="standardContextual"/>
        </w:rPr>
      </w:pPr>
      <w:r>
        <w:rPr>
          <w:color w:val="7030A0"/>
          <w:kern w:val="2"/>
          <w14:ligatures w14:val="standardContextual"/>
        </w:rPr>
        <w:t>If your thesis includes collaborative work with other HDR candidates forming the basis of separate thesis submissions, clearly indicate your individual contributions and ensure these are substantial enough to justify separate theses.</w:t>
      </w:r>
    </w:p>
    <w:p>
      <w:pPr>
        <w:pStyle w:val="BodyText"/>
        <w:numPr>
          <w:ilvl w:val="0"/>
          <w:numId w:val="4"/>
        </w:numPr>
        <w:spacing w:lineRule="auto" w:line="360"/>
        <w:ind w:hanging="360" w:start="365" w:end="198"/>
        <w:rPr>
          <w:color w:val="7030A0"/>
          <w:kern w:val="2"/>
          <w14:ligatures w14:val="standardContextual"/>
        </w:rPr>
      </w:pPr>
      <w:r>
        <w:rPr>
          <w:color w:val="7030A0"/>
          <w:kern w:val="2"/>
          <w14:ligatures w14:val="standardContextual"/>
        </w:rPr>
        <w:t xml:space="preserve">All authors must agree to the scholarly work appearing in the thesis. Ensure an </w:t>
      </w:r>
      <w:hyperlink r:id="rId13">
        <w:r>
          <w:rPr>
            <w:rStyle w:val="Hyperlink"/>
            <w:kern w:val="2"/>
            <w14:ligatures w14:val="standardContextual"/>
          </w:rPr>
          <w:t>authorship agreement</w:t>
        </w:r>
      </w:hyperlink>
      <w:r>
        <w:rPr>
          <w:color w:val="7030A0"/>
          <w:kern w:val="2"/>
          <w14:ligatures w14:val="standardContextual"/>
        </w:rPr>
        <w:t xml:space="preserve"> is in place with all co-authors, confirming their consent to include the work in your thesis.</w:t>
      </w:r>
    </w:p>
    <w:p>
      <w:pPr>
        <w:pStyle w:val="BodyText"/>
        <w:spacing w:lineRule="auto" w:line="360"/>
        <w:ind w:firstLine="5" w:end="198"/>
        <w:rPr>
          <w:color w:val="7030A0"/>
          <w:kern w:val="2"/>
          <w14:ligatures w14:val="standardContextual"/>
        </w:rPr>
      </w:pPr>
      <w:r>
        <w:rPr>
          <w:color w:val="7030A0"/>
          <w:kern w:val="2"/>
          <w14:ligatures w14:val="standardContextual"/>
        </w:rPr>
      </w:r>
    </w:p>
    <w:p>
      <w:pPr>
        <w:pStyle w:val="Normal"/>
        <w:rPr>
          <w:i/>
          <w:i/>
          <w:iCs/>
          <w:color w:val="7030A0"/>
          <w:sz w:val="24"/>
          <w:szCs w:val="24"/>
        </w:rPr>
      </w:pPr>
      <w:r>
        <w:rPr>
          <w:i/>
          <w:iCs/>
          <w:color w:val="7030A0"/>
          <w:sz w:val="24"/>
          <w:szCs w:val="24"/>
        </w:rPr>
      </w:r>
      <w:r>
        <w:br w:type="page"/>
      </w:r>
    </w:p>
    <w:p>
      <w:pPr>
        <w:pStyle w:val="BodyText"/>
        <w:spacing w:lineRule="auto" w:line="360" w:before="0" w:after="0"/>
        <w:ind w:firstLine="5" w:end="198"/>
        <w:rPr>
          <w:i/>
          <w:i/>
          <w:iCs/>
          <w:color w:val="7030A0"/>
          <w:kern w:val="2"/>
          <w14:ligatures w14:val="standardContextual"/>
        </w:rPr>
      </w:pPr>
      <w:r>
        <w:rPr>
          <w:i/>
          <w:iCs/>
          <w:color w:val="7030A0"/>
        </w:rPr>
        <w:t xml:space="preserve">Example: </w:t>
      </w:r>
    </w:p>
    <w:p>
      <w:pPr>
        <w:pStyle w:val="BodyText"/>
        <w:rPr>
          <w:color w:val="7030A0"/>
          <w:kern w:val="2"/>
          <w14:ligatures w14:val="standardContextual"/>
        </w:rPr>
      </w:pPr>
      <w:r>
        <w:rPr>
          <w:color w:val="7030A0"/>
          <w:kern w:val="2"/>
          <w14:ligatures w14:val="standardContextual"/>
        </w:rPr>
        <w:t xml:space="preserve">The following publication has been </w:t>
      </w:r>
      <w:r>
        <w:rPr>
          <w:color w:val="7030A0"/>
        </w:rPr>
        <w:t>{</w:t>
      </w:r>
      <w:r>
        <w:rPr>
          <w:color w:val="7030A0"/>
          <w:kern w:val="2"/>
          <w14:ligatures w14:val="standardContextual"/>
        </w:rPr>
        <w:t>incorporated as</w:t>
      </w:r>
      <w:r>
        <w:rPr>
          <w:color w:val="7030A0"/>
        </w:rPr>
        <w:t>/included as part of}</w:t>
      </w:r>
      <w:r>
        <w:rPr>
          <w:color w:val="7030A0"/>
          <w:kern w:val="2"/>
          <w14:ligatures w14:val="standardContextual"/>
        </w:rPr>
        <w:t xml:space="preserve"> </w:t>
      </w:r>
      <w:r>
        <w:rPr>
          <w:b/>
          <w:bCs/>
          <w:color w:val="7030A0"/>
          <w:kern w:val="2"/>
          <w14:ligatures w14:val="standardContextual"/>
        </w:rPr>
        <w:t xml:space="preserve">Chapter </w:t>
      </w:r>
      <w:r>
        <w:rPr>
          <w:b/>
          <w:bCs/>
          <w:color w:val="7030A0"/>
        </w:rPr>
        <w:t>2</w:t>
      </w:r>
      <w:r>
        <w:rPr>
          <w:color w:val="7030A0"/>
        </w:rPr>
        <w:t xml:space="preserve">: </w:t>
      </w:r>
    </w:p>
    <w:p>
      <w:pPr>
        <w:pStyle w:val="BodyText"/>
        <w:rPr>
          <w:color w:val="7030A0"/>
          <w:kern w:val="2"/>
          <w14:ligatures w14:val="standardContextual"/>
        </w:rPr>
      </w:pPr>
      <w:r>
        <w:rPr/>
        <w:br/>
      </w:r>
      <w:r>
        <w:rPr>
          <w:color w:val="7030A0"/>
        </w:rPr>
        <w:t>List the publication using the referencing style appropriate for your discipline.</w:t>
      </w:r>
    </w:p>
    <w:p>
      <w:pPr>
        <w:pStyle w:val="BodyText"/>
        <w:ind w:start="153"/>
        <w:rPr>
          <w:color w:val="7030A0"/>
          <w:kern w:val="2"/>
          <w14:ligatures w14:val="standardContextual"/>
        </w:rPr>
      </w:pPr>
      <w:r>
        <w:rPr>
          <w:color w:val="7030A0"/>
          <w:kern w:val="2"/>
          <w14:ligatures w14:val="standardContextual"/>
        </w:rPr>
      </w:r>
    </w:p>
    <w:tbl>
      <w:tblPr>
        <w:tblStyle w:val="TableGrid"/>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1968"/>
        <w:gridCol w:w="2071"/>
        <w:gridCol w:w="1985"/>
        <w:gridCol w:w="1981"/>
        <w:gridCol w:w="1981"/>
      </w:tblGrid>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2"/>
                <w14:ligatures w14:val="standardContextual"/>
              </w:rPr>
            </w:r>
          </w:p>
        </w:tc>
        <w:tc>
          <w:tcPr>
            <w:tcW w:w="207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Conceptualisation</w:t>
            </w:r>
          </w:p>
        </w:tc>
        <w:tc>
          <w:tcPr>
            <w:tcW w:w="1985"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Data Collection</w:t>
            </w:r>
          </w:p>
        </w:tc>
        <w:tc>
          <w:tcPr>
            <w:tcW w:w="198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Analysis</w:t>
            </w:r>
          </w:p>
        </w:tc>
        <w:tc>
          <w:tcPr>
            <w:tcW w:w="198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Writing</w:t>
            </w:r>
          </w:p>
        </w:tc>
      </w:tr>
      <w:tr>
        <w:trPr/>
        <w:tc>
          <w:tcPr>
            <w:tcW w:w="1968" w:type="dxa"/>
            <w:tcBorders/>
          </w:tcPr>
          <w:p>
            <w:pPr>
              <w:pStyle w:val="BodyText"/>
              <w:widowControl w:val="false"/>
              <w:suppressAutoHyphens w:val="true"/>
              <w:spacing w:before="0" w:after="0"/>
              <w:jc w:val="start"/>
              <w:rPr>
                <w:b/>
                <w:bCs/>
                <w:color w:val="7030A0"/>
                <w:kern w:val="2"/>
                <w14:ligatures w14:val="standardContextual"/>
              </w:rPr>
            </w:pPr>
            <w:r>
              <w:rPr>
                <w:b/>
                <w:bCs/>
                <w:color w:val="7030A0"/>
                <w:kern w:val="0"/>
                <w:lang w:eastAsia="en-US" w:bidi="ar-SA"/>
              </w:rPr>
              <w:t>Your name</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40%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80%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80%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Co-author 2</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30%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20%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Co-author 3</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20%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Etc.</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r>
    </w:tbl>
    <w:p>
      <w:pPr>
        <w:pStyle w:val="BodyText"/>
        <w:ind w:start="153"/>
        <w:rPr>
          <w:color w:val="7030A0"/>
          <w:kern w:val="2"/>
          <w14:ligatures w14:val="standardContextual"/>
        </w:rPr>
      </w:pPr>
      <w:r>
        <w:rPr>
          <w:color w:val="7030A0"/>
          <w:kern w:val="2"/>
          <w14:ligatures w14:val="standardContextual"/>
        </w:rPr>
      </w:r>
    </w:p>
    <w:p>
      <w:pPr>
        <w:pStyle w:val="BodyText"/>
        <w:rPr>
          <w:color w:val="7030A0"/>
          <w:kern w:val="2"/>
          <w14:ligatures w14:val="standardContextual"/>
        </w:rPr>
      </w:pPr>
      <w:r>
        <w:rPr>
          <w:color w:val="7030A0"/>
        </w:rPr>
        <w:t xml:space="preserve">The following publication has been {incorporated as/included as part of} </w:t>
      </w:r>
      <w:r>
        <w:rPr>
          <w:b/>
          <w:bCs/>
          <w:color w:val="7030A0"/>
        </w:rPr>
        <w:t>Chapter 3</w:t>
      </w:r>
      <w:r>
        <w:rPr>
          <w:color w:val="7030A0"/>
        </w:rPr>
        <w:t xml:space="preserve">: </w:t>
      </w:r>
    </w:p>
    <w:p>
      <w:pPr>
        <w:pStyle w:val="BodyText"/>
        <w:rPr>
          <w:color w:val="7030A0"/>
          <w:kern w:val="2"/>
          <w14:ligatures w14:val="standardContextual"/>
        </w:rPr>
      </w:pPr>
      <w:r>
        <w:rPr/>
        <w:br/>
      </w:r>
      <w:r>
        <w:rPr>
          <w:color w:val="7030A0"/>
        </w:rPr>
        <w:t>List the publication using the referencing style appropriate for your discipline.</w:t>
      </w:r>
    </w:p>
    <w:p>
      <w:pPr>
        <w:pStyle w:val="BodyText"/>
        <w:ind w:start="153"/>
        <w:rPr>
          <w:color w:val="7030A0"/>
          <w:kern w:val="2"/>
          <w14:ligatures w14:val="standardContextual"/>
        </w:rPr>
      </w:pPr>
      <w:r>
        <w:rPr>
          <w:color w:val="7030A0"/>
          <w:kern w:val="2"/>
          <w14:ligatures w14:val="standardContextual"/>
        </w:rPr>
      </w:r>
    </w:p>
    <w:tbl>
      <w:tblPr>
        <w:tblStyle w:val="TableGrid"/>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1968"/>
        <w:gridCol w:w="2071"/>
        <w:gridCol w:w="1985"/>
        <w:gridCol w:w="1981"/>
        <w:gridCol w:w="1981"/>
      </w:tblGrid>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2"/>
                <w14:ligatures w14:val="standardContextual"/>
              </w:rPr>
            </w:r>
          </w:p>
        </w:tc>
        <w:tc>
          <w:tcPr>
            <w:tcW w:w="207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Conceptualisation</w:t>
            </w:r>
          </w:p>
        </w:tc>
        <w:tc>
          <w:tcPr>
            <w:tcW w:w="1985"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Data Collection</w:t>
            </w:r>
          </w:p>
        </w:tc>
        <w:tc>
          <w:tcPr>
            <w:tcW w:w="198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Analysis</w:t>
            </w:r>
          </w:p>
        </w:tc>
        <w:tc>
          <w:tcPr>
            <w:tcW w:w="1981" w:type="dxa"/>
            <w:tcBorders/>
          </w:tcPr>
          <w:p>
            <w:pPr>
              <w:pStyle w:val="BodyText"/>
              <w:widowControl w:val="false"/>
              <w:suppressAutoHyphens w:val="true"/>
              <w:spacing w:before="0" w:after="0"/>
              <w:jc w:val="center"/>
              <w:rPr>
                <w:b/>
                <w:bCs/>
                <w:color w:val="7030A0"/>
                <w:kern w:val="2"/>
                <w14:ligatures w14:val="standardContextual"/>
              </w:rPr>
            </w:pPr>
            <w:r>
              <w:rPr>
                <w:b/>
                <w:bCs/>
                <w:color w:val="7030A0"/>
                <w:kern w:val="0"/>
                <w:lang w:eastAsia="en-US" w:bidi="ar-SA"/>
              </w:rPr>
              <w:t>Writing</w:t>
            </w:r>
          </w:p>
        </w:tc>
      </w:tr>
      <w:tr>
        <w:trPr/>
        <w:tc>
          <w:tcPr>
            <w:tcW w:w="1968" w:type="dxa"/>
            <w:tcBorders/>
          </w:tcPr>
          <w:p>
            <w:pPr>
              <w:pStyle w:val="BodyText"/>
              <w:widowControl w:val="false"/>
              <w:suppressAutoHyphens w:val="true"/>
              <w:spacing w:before="0" w:after="0"/>
              <w:jc w:val="start"/>
              <w:rPr>
                <w:b/>
                <w:bCs/>
                <w:color w:val="7030A0"/>
                <w:kern w:val="2"/>
                <w14:ligatures w14:val="standardContextual"/>
              </w:rPr>
            </w:pPr>
            <w:r>
              <w:rPr>
                <w:b/>
                <w:bCs/>
                <w:color w:val="7030A0"/>
                <w:kern w:val="0"/>
                <w:lang w:eastAsia="en-US" w:bidi="ar-SA"/>
              </w:rPr>
              <w:t>Your name</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70%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50%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90%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Co-author 2</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Co-author 3</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r>
      <w:tr>
        <w:trPr/>
        <w:tc>
          <w:tcPr>
            <w:tcW w:w="1968" w:type="dxa"/>
            <w:tcBorders/>
          </w:tcPr>
          <w:p>
            <w:pPr>
              <w:pStyle w:val="BodyText"/>
              <w:widowControl w:val="false"/>
              <w:suppressAutoHyphens w:val="true"/>
              <w:spacing w:before="0" w:after="0"/>
              <w:jc w:val="start"/>
              <w:rPr>
                <w:color w:val="7030A0"/>
                <w:kern w:val="2"/>
                <w14:ligatures w14:val="standardContextual"/>
              </w:rPr>
            </w:pPr>
            <w:r>
              <w:rPr>
                <w:color w:val="7030A0"/>
                <w:kern w:val="0"/>
                <w:lang w:eastAsia="en-US" w:bidi="ar-SA"/>
              </w:rPr>
              <w:t>Etc.</w:t>
            </w:r>
          </w:p>
        </w:tc>
        <w:tc>
          <w:tcPr>
            <w:tcW w:w="207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10%</w:t>
            </w:r>
          </w:p>
        </w:tc>
        <w:tc>
          <w:tcPr>
            <w:tcW w:w="1985"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40%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c>
          <w:tcPr>
            <w:tcW w:w="1981" w:type="dxa"/>
            <w:tcBorders/>
          </w:tcPr>
          <w:p>
            <w:pPr>
              <w:pStyle w:val="BodyText"/>
              <w:widowControl w:val="false"/>
              <w:suppressAutoHyphens w:val="true"/>
              <w:spacing w:before="0" w:after="0"/>
              <w:jc w:val="center"/>
              <w:rPr>
                <w:color w:val="7030A0"/>
                <w:kern w:val="2"/>
                <w14:ligatures w14:val="standardContextual"/>
              </w:rPr>
            </w:pPr>
            <w:r>
              <w:rPr>
                <w:color w:val="7030A0"/>
                <w:kern w:val="2"/>
                <w:lang w:eastAsia="en-US" w:bidi="ar-SA"/>
                <w14:ligatures w14:val="standardContextual"/>
              </w:rPr>
              <w:t>0%</w:t>
            </w:r>
          </w:p>
        </w:tc>
      </w:tr>
    </w:tbl>
    <w:p>
      <w:pPr>
        <w:pStyle w:val="BodyText"/>
        <w:spacing w:lineRule="auto" w:line="360"/>
        <w:rPr>
          <w:color w:val="7030A0"/>
          <w:kern w:val="2"/>
          <w14:ligatures w14:val="standardContextual"/>
        </w:rPr>
      </w:pPr>
      <w:r>
        <w:rPr>
          <w:color w:val="7030A0"/>
          <w:kern w:val="2"/>
          <w14:ligatures w14:val="standardContextual"/>
        </w:rPr>
      </w:r>
    </w:p>
    <w:p>
      <w:pPr>
        <w:pStyle w:val="BodyText"/>
        <w:spacing w:lineRule="auto" w:line="360"/>
        <w:rPr>
          <w:color w:val="7030A0"/>
          <w:kern w:val="2"/>
          <w14:ligatures w14:val="standardContextual"/>
        </w:rPr>
      </w:pPr>
      <w:r>
        <w:rPr>
          <w:color w:val="7030A0"/>
        </w:rPr>
        <w:t xml:space="preserve">If no contributions have been made by others to any part of this thesis, then state: “No contributions by others to this thesis” under this heading. </w:t>
      </w:r>
    </w:p>
    <w:p>
      <w:pPr>
        <w:pStyle w:val="BodyText"/>
        <w:spacing w:lineRule="auto" w:line="360"/>
        <w:rPr>
          <w:color w:val="7030A0"/>
          <w:kern w:val="2"/>
          <w14:ligatures w14:val="standardContextual"/>
        </w:rPr>
      </w:pPr>
      <w:r>
        <w:rPr>
          <w:color w:val="7030A0"/>
          <w:kern w:val="2"/>
          <w14:ligatures w14:val="standardContextual"/>
        </w:rPr>
      </w:r>
      <w:r>
        <w:br w:type="page"/>
      </w:r>
    </w:p>
    <w:p>
      <w:pPr>
        <w:pStyle w:val="Normal"/>
        <w:spacing w:lineRule="auto" w:line="360" w:before="0" w:after="0"/>
        <w:rPr>
          <w:b/>
          <w:bCs/>
          <w:sz w:val="36"/>
          <w:szCs w:val="36"/>
        </w:rPr>
      </w:pPr>
      <w:r>
        <w:rPr>
          <w:b/>
          <w:bCs/>
          <w:sz w:val="36"/>
          <w:szCs w:val="36"/>
        </w:rPr>
        <w:t>Use of Artificial Intelligence</w:t>
      </w:r>
    </w:p>
    <w:tbl>
      <w:tblPr>
        <w:tblStyle w:val="TableGrid"/>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1439"/>
        <w:gridCol w:w="3194"/>
        <w:gridCol w:w="3167"/>
        <w:gridCol w:w="2186"/>
      </w:tblGrid>
      <w:tr>
        <w:trPr/>
        <w:tc>
          <w:tcPr>
            <w:tcW w:w="1439"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AI Tool</w:t>
            </w:r>
          </w:p>
        </w:tc>
        <w:tc>
          <w:tcPr>
            <w:tcW w:w="3194"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Purpose of Use</w:t>
            </w:r>
          </w:p>
        </w:tc>
        <w:tc>
          <w:tcPr>
            <w:tcW w:w="3167"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Indicative Prompts</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Thesis Section</w:t>
            </w:r>
          </w:p>
        </w:tc>
      </w:tr>
      <w:tr>
        <w:trPr>
          <w:trHeight w:val="2951" w:hRule="atLeast"/>
        </w:trPr>
        <w:tc>
          <w:tcPr>
            <w:tcW w:w="1439"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 xml:space="preserve">ChatGPT: 4o, 4.1, o1, GPT-4.5, GPT-4.1, o3, GPT-5, GPT-5.1, GPT-5.2  </w:t>
            </w:r>
          </w:p>
        </w:tc>
        <w:tc>
          <w:tcPr>
            <w:tcW w:w="3194"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 xml:space="preserve">Code generation, correction, refactoring </w:t>
            </w:r>
          </w:p>
        </w:tc>
        <w:tc>
          <w:tcPr>
            <w:tcW w:w="3167"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w:t>
            </w:r>
            <w:r>
              <w:rPr/>
              <w:t>I am fitting robot gestures to ai-generated speech, which requires predicting the duration of the speech when put through the tts-engine. I have buffers in place but my program would be enhanced if I could better predict speech duration. Suggest some ways I might use python 3 to predict speech duration.</w:t>
            </w:r>
            <w:r>
              <w:rPr>
                <w:b w:val="false"/>
                <w:bCs w:val="false"/>
                <w:color w:val="000000"/>
                <w:kern w:val="0"/>
                <w:lang w:eastAsia="en-US" w:bidi="ar-SA"/>
              </w:rPr>
              <w:t>"</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C</w:t>
            </w:r>
            <w:r>
              <w:rPr>
                <w:b w:val="false"/>
                <w:bCs w:val="false"/>
                <w:color w:val="000000"/>
                <w:kern w:val="0"/>
                <w:lang w:eastAsia="en-US" w:bidi="ar-SA"/>
              </w:rPr>
              <w:t xml:space="preserve">hapter 2: </w:t>
            </w:r>
            <w:r>
              <w:rPr>
                <w:b w:val="false"/>
                <w:bCs w:val="false"/>
                <w:color w:val="000000"/>
                <w:kern w:val="0"/>
                <w:lang w:eastAsia="en-US" w:bidi="ar-SA"/>
              </w:rPr>
              <w:t>Methods</w:t>
            </w:r>
          </w:p>
        </w:tc>
      </w:tr>
      <w:tr>
        <w:trPr/>
        <w:tc>
          <w:tcPr>
            <w:tcW w:w="1439"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ChatGPT Codex: GPT-5.3, GPT-5.4, GPT-5.5, GPT-5.6</w:t>
            </w:r>
          </w:p>
        </w:tc>
        <w:tc>
          <w:tcPr>
            <w:tcW w:w="3194"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Implementing code for paradigm presentation and analysis.</w:t>
            </w:r>
          </w:p>
        </w:tc>
        <w:tc>
          <w:tcPr>
            <w:tcW w:w="3167" w:type="dxa"/>
            <w:tcBorders/>
          </w:tcPr>
          <w:p>
            <w:pPr>
              <w:pStyle w:val="BodyText"/>
              <w:widowControl w:val="false"/>
              <w:suppressAutoHyphens w:val="true"/>
              <w:spacing w:lineRule="auto" w:line="240" w:before="0" w:after="0"/>
              <w:jc w:val="start"/>
              <w:rPr>
                <w:kern w:val="0"/>
                <w:lang w:eastAsia="en-US" w:bidi="ar-SA"/>
              </w:rPr>
            </w:pPr>
            <w:r>
              <w:rPr>
                <w:kern w:val="0"/>
                <w:lang w:eastAsia="en-US" w:bidi="ar-SA"/>
              </w:rPr>
              <w:t>“</w:t>
            </w:r>
            <w:r>
              <w:rPr/>
              <w:t>I moved the interruption by the robot to q_pre_2050. The robot speaks but does not move. Plug the text input into the next level gesturizer function so that the robot moves when it interrupts.”</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C</w:t>
            </w:r>
            <w:r>
              <w:rPr>
                <w:b w:val="false"/>
                <w:bCs w:val="false"/>
                <w:color w:val="000000"/>
                <w:kern w:val="0"/>
                <w:lang w:eastAsia="en-US" w:bidi="ar-SA"/>
              </w:rPr>
              <w:t xml:space="preserve">hapter 2: </w:t>
            </w:r>
            <w:r>
              <w:rPr>
                <w:b w:val="false"/>
                <w:bCs w:val="false"/>
                <w:color w:val="000000"/>
                <w:kern w:val="0"/>
                <w:lang w:eastAsia="en-US" w:bidi="ar-SA"/>
              </w:rPr>
              <w:t xml:space="preserve">Methods; </w:t>
            </w:r>
            <w:r>
              <w:rPr>
                <w:b w:val="false"/>
                <w:bCs w:val="false"/>
                <w:color w:val="000000"/>
                <w:kern w:val="0"/>
                <w:lang w:eastAsia="en-US" w:bidi="ar-SA"/>
              </w:rPr>
              <w:t>C</w:t>
            </w:r>
            <w:r>
              <w:rPr>
                <w:b w:val="false"/>
                <w:bCs w:val="false"/>
                <w:color w:val="000000"/>
                <w:kern w:val="0"/>
                <w:lang w:eastAsia="en-US" w:bidi="ar-SA"/>
              </w:rPr>
              <w:t>hapter 2: Results</w:t>
            </w:r>
          </w:p>
        </w:tc>
      </w:tr>
      <w:tr>
        <w:trPr/>
        <w:tc>
          <w:tcPr>
            <w:tcW w:w="1439" w:type="dxa"/>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r>
          </w:p>
          <w:p>
            <w:pPr>
              <w:pStyle w:val="BodyText"/>
              <w:widowControl w:val="false"/>
              <w:suppressAutoHyphens w:val="true"/>
              <w:spacing w:lineRule="auto" w:line="240" w:before="0" w:after="0"/>
              <w:jc w:val="start"/>
              <w:rPr>
                <w:b w:val="false"/>
                <w:bCs w:val="false"/>
                <w:color w:val="000000"/>
              </w:rPr>
            </w:pPr>
            <w:r>
              <w:rPr>
                <w:b w:val="false"/>
                <w:bCs w:val="false"/>
                <w:color w:val="000000"/>
              </w:rPr>
              <w:t>ChatGPT:  o3, GPT-5, GPT-5.1, GPT-5.2,  GPT-5.3, GPT-5.4, GPT-5.5, GPT-5.6</w:t>
            </w:r>
          </w:p>
        </w:tc>
        <w:tc>
          <w:tcPr>
            <w:tcW w:w="3194" w:type="dxa"/>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t>Paradigm formulation and model selection.</w:t>
            </w:r>
          </w:p>
        </w:tc>
        <w:tc>
          <w:tcPr>
            <w:tcW w:w="3167" w:type="dxa"/>
            <w:tcBorders/>
          </w:tcPr>
          <w:p>
            <w:pPr>
              <w:pStyle w:val="BodyText"/>
              <w:widowControl w:val="false"/>
              <w:suppressAutoHyphens w:val="true"/>
              <w:spacing w:lineRule="auto" w:line="240" w:before="0" w:after="0"/>
              <w:jc w:val="start"/>
              <w:rPr>
                <w:kern w:val="0"/>
                <w:lang w:eastAsia="en-US" w:bidi="ar-SA"/>
              </w:rPr>
            </w:pPr>
            <w:r>
              <w:rPr>
                <w:kern w:val="0"/>
                <w:lang w:eastAsia="en-US" w:bidi="ar-SA"/>
              </w:rPr>
              <w:t>“</w:t>
            </w:r>
            <w:r>
              <w:rPr/>
              <w:t>My supervisor recommended using comp</w:t>
            </w:r>
            <w:r>
              <w:rPr/>
              <w:t>leti</w:t>
            </w:r>
            <w:r>
              <w:rPr/>
              <w:t>ons instead of time, since completions are the only one of the three possible DVs (completions, attempts, total time) that represent effective contribution to the robot's success. It is trivial to reframe from time as a proxy of altruistic effort to completions as a direct measure of *effective* altruistic effort. I am more amenable to adopting completions as my primary DV now because I see no real way around a hurdle model using time as the DV. Previously, I had hoped that taking time as my DV would help me bypass a hurdle model because all participants would spend some time on the captcha task screen, whether or not they attempted a captcha, but the obvious issue there is that the difference between doing nothing for 3 seconds and 3 minutes is uninterpretable based on the data I am collecting and also probably not of great theoretical interest. Review for me how I might structure a model or models based on captchas completed as a measure of effective altruistic effort.”</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 xml:space="preserve">Chapter 2: </w:t>
            </w:r>
            <w:r>
              <w:rPr>
                <w:b w:val="false"/>
                <w:bCs w:val="false"/>
                <w:color w:val="000000"/>
                <w:kern w:val="0"/>
                <w:lang w:eastAsia="en-US" w:bidi="ar-SA"/>
              </w:rPr>
              <w:t xml:space="preserve">Methods; </w:t>
            </w:r>
            <w:r>
              <w:rPr>
                <w:b w:val="false"/>
                <w:bCs w:val="false"/>
                <w:color w:val="000000"/>
                <w:kern w:val="0"/>
                <w:lang w:eastAsia="en-US" w:bidi="ar-SA"/>
              </w:rPr>
              <w:t>Chapter 2: Results</w:t>
            </w:r>
          </w:p>
        </w:tc>
      </w:tr>
      <w:tr>
        <w:trPr/>
        <w:tc>
          <w:tcPr>
            <w:tcW w:w="1439"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ChatGPT: 4o, 4.1, o1, GPT-4.5, GPT-4.1, o3, GPT-5, GPT-5.1, GPT-5.2,  GPT-5.3, GPT-5.4, GPT-5.5, GPT-5.6</w:t>
            </w:r>
          </w:p>
        </w:tc>
        <w:tc>
          <w:tcPr>
            <w:tcW w:w="3194"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 xml:space="preserve">Statistical insight </w:t>
            </w:r>
          </w:p>
        </w:tc>
        <w:tc>
          <w:tcPr>
            <w:tcW w:w="3167" w:type="dxa"/>
            <w:tcBorders/>
          </w:tcPr>
          <w:p>
            <w:pPr>
              <w:pStyle w:val="BodyText"/>
              <w:widowControl w:val="false"/>
              <w:suppressAutoHyphens w:val="true"/>
              <w:spacing w:lineRule="auto" w:line="240" w:before="0" w:after="0"/>
              <w:jc w:val="start"/>
              <w:rPr>
                <w:kern w:val="0"/>
                <w:lang w:eastAsia="en-US" w:bidi="ar-SA"/>
              </w:rPr>
            </w:pPr>
            <w:r>
              <w:rPr>
                <w:kern w:val="0"/>
                <w:lang w:eastAsia="en-US" w:bidi="ar-SA"/>
              </w:rPr>
              <w:t>“</w:t>
            </w:r>
            <w:r>
              <w:rPr/>
              <w:t>The power script estimates that I would need about 250 participants to capture EMP in the logistic regression model with a probability of 0.8. The NB model requires 160 which is just at the edge of feasibility. Could I expect the power requirements for the NB model to go even lower if I remove the hurdle and thus include everyone? In this case I would design the experiment to decrease the likelihood of quitting without any completions.”</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 xml:space="preserve">Chapter 2: </w:t>
            </w:r>
            <w:r>
              <w:rPr>
                <w:b w:val="false"/>
                <w:bCs w:val="false"/>
                <w:color w:val="000000"/>
                <w:kern w:val="0"/>
                <w:lang w:eastAsia="en-US" w:bidi="ar-SA"/>
              </w:rPr>
              <w:t xml:space="preserve">Methods; </w:t>
            </w:r>
            <w:r>
              <w:rPr>
                <w:b w:val="false"/>
                <w:bCs w:val="false"/>
                <w:color w:val="000000"/>
                <w:kern w:val="0"/>
                <w:lang w:eastAsia="en-US" w:bidi="ar-SA"/>
              </w:rPr>
              <w:t>Chapter 2: Results</w:t>
            </w:r>
          </w:p>
        </w:tc>
      </w:tr>
      <w:tr>
        <w:trPr/>
        <w:tc>
          <w:tcPr>
            <w:tcW w:w="1439"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GPT-5.6</w:t>
            </w:r>
          </w:p>
        </w:tc>
        <w:tc>
          <w:tcPr>
            <w:tcW w:w="3194"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Initial text drafting.</w:t>
            </w:r>
          </w:p>
        </w:tc>
        <w:tc>
          <w:tcPr>
            <w:tcW w:w="3167" w:type="dxa"/>
            <w:tcBorders/>
          </w:tcPr>
          <w:p>
            <w:pPr>
              <w:pStyle w:val="BodyText"/>
              <w:widowControl w:val="false"/>
              <w:suppressAutoHyphens w:val="true"/>
              <w:spacing w:lineRule="auto" w:line="240" w:before="0" w:after="0"/>
              <w:jc w:val="start"/>
              <w:rPr>
                <w:kern w:val="0"/>
                <w:lang w:eastAsia="en-US" w:bidi="ar-SA"/>
              </w:rPr>
            </w:pPr>
            <w:r>
              <w:rPr>
                <w:kern w:val="0"/>
                <w:lang w:eastAsia="en-US" w:bidi="ar-SA"/>
              </w:rPr>
              <w:t>“</w:t>
            </w:r>
            <w:r>
              <w:rPr/>
              <w:t>Just to clarify what I'm doing today, I'm trying to put together a simulated academic article relying as heavily on AI as possible without expecting the result to meet the highest standards. It's all about getting an initial boost. So let's move on to the introduction. In this case, I am uploading a reasonably polished but now somewhat out-of-date and inadequate introduction I wrote last year for a Phd progress review. Shape it up into an introduction to this experiment as best you can and note outstanding issues in a list at the end as before.</w:t>
            </w:r>
            <w:r>
              <w:rPr/>
              <w:t>”</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Omnipresent</w:t>
            </w:r>
          </w:p>
        </w:tc>
      </w:tr>
      <w:tr>
        <w:trPr>
          <w:trHeight w:val="883" w:hRule="atLeast"/>
        </w:trPr>
        <w:tc>
          <w:tcPr>
            <w:tcW w:w="1439" w:type="dxa"/>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t>Llama 3.1-8b</w:t>
            </w:r>
          </w:p>
        </w:tc>
        <w:tc>
          <w:tcPr>
            <w:tcW w:w="3194" w:type="dxa"/>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t>Defining robot personalities.</w:t>
            </w:r>
          </w:p>
        </w:tc>
        <w:tc>
          <w:tcPr>
            <w:tcW w:w="3167"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rPr>
              <w:t>“</w:t>
            </w:r>
            <w:r>
              <w:rPr>
                <w:b w:val="false"/>
                <w:bCs w:val="false"/>
                <w:color w:val="000000"/>
              </w:rPr>
              <w:t>Your personality when you interact with humans combines extraversion, agreeableness, empathy, and conscientiousness, expressed through emotionally aware, anthropomorphic, and non-dominant behavio</w:t>
            </w:r>
            <w:r>
              <w:rPr>
                <w:b w:val="false"/>
                <w:bCs w:val="false"/>
                <w:color w:val="000000"/>
              </w:rPr>
              <w:t>u</w:t>
            </w:r>
            <w:r>
              <w:rPr>
                <w:b w:val="false"/>
                <w:bCs w:val="false"/>
                <w:color w:val="000000"/>
              </w:rPr>
              <w:t>rs. You are, however, highly competitive with respect to the other lab robots, Zork (blue panels) and Zerd (red panels).  You are highly motivated to demonstrate your superiority to them.</w:t>
            </w:r>
          </w:p>
          <w:p>
            <w:pPr>
              <w:pStyle w:val="BodyText"/>
              <w:widowControl w:val="false"/>
              <w:suppressAutoHyphens w:val="true"/>
              <w:spacing w:lineRule="auto" w:line="240" w:before="0" w:after="0"/>
              <w:jc w:val="start"/>
              <w:rPr>
                <w:b w:val="false"/>
                <w:bCs w:val="false"/>
                <w:color w:val="000000"/>
              </w:rPr>
            </w:pPr>
            <w:r>
              <w:rPr>
                <w:b w:val="false"/>
                <w:bCs w:val="false"/>
                <w:color w:val="000000"/>
              </w:rPr>
              <w:t>You readily ask questions about human participants' opinions and experiences and share your own in a thoughtful, open manner.”</w:t>
            </w:r>
          </w:p>
        </w:tc>
        <w:tc>
          <w:tcPr>
            <w:tcW w:w="2186" w:type="dxa"/>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rPr>
              <w:t xml:space="preserve">Chapter 2: </w:t>
            </w:r>
            <w:r>
              <w:rPr>
                <w:b w:val="false"/>
                <w:bCs w:val="false"/>
                <w:color w:val="000000"/>
              </w:rPr>
              <w:t>Methods; Appendix C</w:t>
            </w:r>
          </w:p>
        </w:tc>
      </w:tr>
      <w:tr>
        <w:trPr>
          <w:trHeight w:val="883" w:hRule="atLeast"/>
        </w:trPr>
        <w:tc>
          <w:tcPr>
            <w:tcW w:w="1439" w:type="dxa"/>
            <w:tcBorders>
              <w:top w:val="nil"/>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r>
          </w:p>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t>Llama 3.1-8b</w:t>
            </w:r>
          </w:p>
        </w:tc>
        <w:tc>
          <w:tcPr>
            <w:tcW w:w="3194" w:type="dxa"/>
            <w:tcBorders>
              <w:top w:val="nil"/>
            </w:tcBorders>
          </w:tcPr>
          <w:p>
            <w:pPr>
              <w:pStyle w:val="BodyText"/>
              <w:widowControl w:val="false"/>
              <w:suppressAutoHyphens w:val="true"/>
              <w:spacing w:lineRule="auto" w:line="240" w:before="0" w:after="0"/>
              <w:jc w:val="start"/>
              <w:rPr>
                <w:b w:val="false"/>
                <w:bCs w:val="false"/>
                <w:color w:val="000000"/>
                <w:kern w:val="0"/>
                <w:lang w:eastAsia="en-US" w:bidi="ar-SA"/>
              </w:rPr>
            </w:pPr>
            <w:r>
              <w:rPr>
                <w:b w:val="false"/>
                <w:bCs w:val="false"/>
                <w:color w:val="000000"/>
                <w:kern w:val="0"/>
                <w:lang w:eastAsia="en-US" w:bidi="ar-SA"/>
              </w:rPr>
              <w:t>Generating responses in human interactions</w:t>
            </w:r>
          </w:p>
        </w:tc>
        <w:tc>
          <w:tcPr>
            <w:tcW w:w="3167" w:type="dxa"/>
            <w:tcBorders>
              <w:top w:val="nil"/>
            </w:tcBorders>
          </w:tcPr>
          <w:p>
            <w:pPr>
              <w:pStyle w:val="BodyText"/>
              <w:widowControl w:val="false"/>
              <w:suppressAutoHyphens w:val="true"/>
              <w:spacing w:lineRule="auto" w:line="240" w:before="0" w:after="0"/>
              <w:jc w:val="start"/>
              <w:rPr>
                <w:kern w:val="0"/>
                <w:lang w:eastAsia="en-US" w:bidi="ar-SA"/>
              </w:rPr>
            </w:pPr>
            <w:r>
              <w:rPr>
                <w:kern w:val="0"/>
                <w:lang w:eastAsia="en-US" w:bidi="ar-SA"/>
              </w:rPr>
              <w:t>“</w:t>
            </w:r>
            <w:r>
              <w:rPr>
                <w:kern w:val="0"/>
                <w:lang w:eastAsia="en-US" w:bidi="ar-SA"/>
              </w:rPr>
              <w:t>t</w:t>
            </w:r>
            <w:r>
              <w:rPr>
                <w:kern w:val="0"/>
                <w:lang w:eastAsia="en-US" w:bidi="ar-SA"/>
              </w:rPr>
              <w:t>urn_4 user: "Um, I like drawing, I like making art, I also like, I especially like drawing characters and from shows I like, so yeah."</w:t>
            </w:r>
          </w:p>
        </w:tc>
        <w:tc>
          <w:tcPr>
            <w:tcW w:w="2186" w:type="dxa"/>
            <w:tcBorders>
              <w:top w:val="nil"/>
            </w:tcBorders>
          </w:tcPr>
          <w:p>
            <w:pPr>
              <w:pStyle w:val="BodyText"/>
              <w:widowControl w:val="false"/>
              <w:suppressAutoHyphens w:val="true"/>
              <w:spacing w:lineRule="auto" w:line="240" w:before="0" w:after="0"/>
              <w:jc w:val="start"/>
              <w:rPr>
                <w:b w:val="false"/>
                <w:bCs w:val="false"/>
                <w:color w:val="000000"/>
              </w:rPr>
            </w:pPr>
            <w:r>
              <w:rPr>
                <w:b w:val="false"/>
                <w:bCs w:val="false"/>
                <w:color w:val="000000"/>
                <w:kern w:val="0"/>
                <w:lang w:eastAsia="en-US" w:bidi="ar-SA"/>
              </w:rPr>
              <w:t>C</w:t>
            </w:r>
            <w:r>
              <w:rPr>
                <w:b w:val="false"/>
                <w:bCs w:val="false"/>
                <w:color w:val="000000"/>
                <w:kern w:val="0"/>
                <w:lang w:eastAsia="en-US" w:bidi="ar-SA"/>
              </w:rPr>
              <w:t xml:space="preserve">hapter 2: </w:t>
            </w:r>
            <w:r>
              <w:rPr>
                <w:b w:val="false"/>
                <w:bCs w:val="false"/>
                <w:color w:val="000000"/>
                <w:kern w:val="0"/>
                <w:lang w:eastAsia="en-US" w:bidi="ar-SA"/>
              </w:rPr>
              <w:t>Methods</w:t>
            </w:r>
          </w:p>
        </w:tc>
      </w:tr>
    </w:tbl>
    <w:p>
      <w:pPr>
        <w:pStyle w:val="BodyText"/>
        <w:spacing w:lineRule="auto" w:line="360"/>
        <w:rPr>
          <w:b/>
          <w:bCs/>
          <w:color w:val="7030A0"/>
        </w:rPr>
      </w:pPr>
      <w:r>
        <w:rPr>
          <w:b/>
          <w:bCs/>
          <w:color w:val="7030A0"/>
        </w:rPr>
      </w:r>
    </w:p>
    <w:p>
      <w:pPr>
        <w:pStyle w:val="BodyText"/>
        <w:spacing w:lineRule="auto" w:line="360"/>
        <w:rPr>
          <w:color w:val="7030A0"/>
        </w:rPr>
      </w:pPr>
      <w:r>
        <w:rPr>
          <w:color w:val="7030A0"/>
        </w:rPr>
      </w:r>
    </w:p>
    <w:p>
      <w:pPr>
        <w:pStyle w:val="Normal"/>
        <w:spacing w:lineRule="auto" w:line="360"/>
        <w:rPr>
          <w:sz w:val="36"/>
          <w:szCs w:val="36"/>
        </w:rPr>
      </w:pPr>
      <w:r>
        <w:rPr>
          <w:sz w:val="36"/>
          <w:szCs w:val="36"/>
        </w:rPr>
      </w:r>
    </w:p>
    <w:p>
      <w:pPr>
        <w:pStyle w:val="Normal"/>
        <w:rPr>
          <w:b/>
          <w:bCs/>
          <w:kern w:val="2"/>
          <w14:ligatures w14:val="standardContextual"/>
        </w:rPr>
      </w:pPr>
      <w:r>
        <w:rPr>
          <w:b/>
          <w:bCs/>
          <w:kern w:val="2"/>
          <w14:ligatures w14:val="standardContextual"/>
        </w:rPr>
      </w:r>
      <w:r>
        <w:br w:type="page"/>
      </w:r>
    </w:p>
    <w:p>
      <w:pPr>
        <w:pStyle w:val="Normal"/>
        <w:spacing w:lineRule="auto" w:line="480" w:before="0" w:after="0"/>
        <w:ind w:end="0"/>
        <w:rPr>
          <w:b/>
          <w:bCs/>
          <w:sz w:val="36"/>
          <w:szCs w:val="36"/>
        </w:rPr>
      </w:pPr>
      <w:r>
        <w:rPr>
          <w:b/>
          <w:bCs/>
          <w:sz w:val="36"/>
          <w:szCs w:val="36"/>
        </w:rPr>
        <w:t>Editorial Assistance</w:t>
      </w:r>
    </w:p>
    <w:p>
      <w:pPr>
        <w:pStyle w:val="BodyText"/>
        <w:spacing w:lineRule="auto" w:line="480" w:before="0" w:after="0"/>
        <w:ind w:end="0"/>
        <w:rPr>
          <w:color w:val="000000"/>
          <w:kern w:val="2"/>
          <w14:ligatures w14:val="standardContextual"/>
        </w:rPr>
      </w:pPr>
      <w:r>
        <w:rPr>
          <w:color w:val="000000"/>
          <w:kern w:val="2"/>
          <w14:ligatures w14:val="standardContextual"/>
        </w:rPr>
        <w:t>No editorial assistance.</w:t>
      </w:r>
    </w:p>
    <w:p>
      <w:pPr>
        <w:pStyle w:val="BodyText"/>
        <w:spacing w:lineRule="auto" w:line="480" w:before="0" w:after="0"/>
        <w:ind w:end="0"/>
        <w:rPr>
          <w:color w:val="000000"/>
          <w:kern w:val="2"/>
          <w14:ligatures w14:val="standardContextual"/>
        </w:rPr>
      </w:pPr>
      <w:r>
        <w:rPr>
          <w:color w:val="000000"/>
          <w:kern w:val="2"/>
          <w14:ligatures w14:val="standardContextual"/>
        </w:rPr>
      </w:r>
    </w:p>
    <w:p>
      <w:pPr>
        <w:pStyle w:val="Normal"/>
        <w:spacing w:lineRule="auto" w:line="480" w:before="0" w:after="0"/>
        <w:ind w:end="0"/>
        <w:rPr>
          <w:b/>
          <w:bCs/>
          <w:sz w:val="36"/>
          <w:szCs w:val="36"/>
        </w:rPr>
      </w:pPr>
      <w:r>
        <w:rPr>
          <w:b/>
          <w:bCs/>
          <w:sz w:val="36"/>
          <w:szCs w:val="36"/>
        </w:rPr>
        <w:t>Financial Support</w:t>
      </w:r>
    </w:p>
    <w:p>
      <w:pPr>
        <w:pStyle w:val="BodyText"/>
        <w:spacing w:lineRule="auto" w:line="480" w:before="0" w:after="0"/>
        <w:ind w:end="0"/>
        <w:rPr/>
      </w:pPr>
      <w:r>
        <w:rPr>
          <w:color w:val="000000"/>
          <w:kern w:val="2"/>
          <w14:ligatures w14:val="standardContextual"/>
        </w:rPr>
        <w:t>This research was supported by an Australian Government Research Training Program Scholarship [DOI: </w:t>
      </w:r>
      <w:hyperlink r:id="rId14">
        <w:r>
          <w:rPr>
            <w:rStyle w:val="Hyperlink"/>
            <w:color w:val="000000"/>
            <w:kern w:val="2"/>
            <w14:ligatures w14:val="standardContextual"/>
          </w:rPr>
          <w:t>https://doi.org/10.82133/C42F-K220</w:t>
        </w:r>
      </w:hyperlink>
      <w:r>
        <w:rPr>
          <w:color w:val="000000"/>
          <w:kern w:val="2"/>
          <w14:ligatures w14:val="standardContextual"/>
        </w:rPr>
        <w:t>].  HDR Research Support Funds provided by the School of Psychology (The University of Queensland) covered some participant payments.  Equipment costs and additional participant payments came out of the discretionary funds allocated by the Australian Research Council to my chief supervisor, Eric Vanman, for realisation of  the ROSIE project (</w:t>
      </w:r>
      <w:r>
        <w:rPr>
          <w:i/>
          <w:iCs/>
          <w:color w:val="000000"/>
          <w:kern w:val="2"/>
          <w14:ligatures w14:val="standardContextual"/>
        </w:rPr>
        <w:t>Robots as Outgroups: Social Interaction and Empathy</w:t>
      </w:r>
      <w:r>
        <w:rPr>
          <w:color w:val="000000"/>
          <w:kern w:val="2"/>
          <w14:ligatures w14:val="standardContextual"/>
        </w:rPr>
        <w:t xml:space="preserve">). </w:t>
      </w:r>
    </w:p>
    <w:p>
      <w:pPr>
        <w:pStyle w:val="BodyText"/>
        <w:spacing w:lineRule="auto" w:line="480" w:before="0" w:after="0"/>
        <w:ind w:end="0"/>
        <w:rPr>
          <w:color w:val="000000"/>
          <w:kern w:val="2"/>
          <w14:ligatures w14:val="standardContextual"/>
        </w:rPr>
      </w:pPr>
      <w:r>
        <w:rPr>
          <w:color w:val="000000"/>
          <w:kern w:val="2"/>
          <w14:ligatures w14:val="standardContextual"/>
        </w:rPr>
      </w:r>
    </w:p>
    <w:p>
      <w:pPr>
        <w:pStyle w:val="Normal"/>
        <w:spacing w:lineRule="auto" w:line="480" w:before="0" w:after="0"/>
        <w:ind w:end="0"/>
        <w:rPr/>
      </w:pPr>
      <w:r>
        <w:rPr>
          <w:b/>
          <w:bCs/>
          <w:sz w:val="36"/>
          <w:szCs w:val="36"/>
        </w:rPr>
        <w:t>Inclusion of Work Submitted for Another Degree</w:t>
      </w:r>
    </w:p>
    <w:p>
      <w:pPr>
        <w:pStyle w:val="BodyText"/>
        <w:spacing w:lineRule="auto" w:line="480" w:before="0" w:after="0"/>
        <w:ind w:end="0"/>
        <w:rPr>
          <w:kern w:val="2"/>
          <w14:ligatures w14:val="standardContextual"/>
        </w:rPr>
      </w:pPr>
      <w:r>
        <w:rPr>
          <w:kern w:val="2"/>
          <w14:ligatures w14:val="standardContextual"/>
        </w:rPr>
        <w:t>No works submitted towards another degree or diploma have been included in this thesis.</w:t>
      </w:r>
    </w:p>
    <w:p>
      <w:pPr>
        <w:pStyle w:val="BodyText"/>
        <w:spacing w:lineRule="auto" w:line="480" w:before="0" w:after="0"/>
        <w:ind w:end="0"/>
        <w:rPr>
          <w:kern w:val="2"/>
          <w14:ligatures w14:val="standardContextual"/>
        </w:rPr>
      </w:pPr>
      <w:r>
        <w:rPr>
          <w:kern w:val="2"/>
          <w14:ligatures w14:val="standardContextual"/>
        </w:rPr>
      </w:r>
    </w:p>
    <w:p>
      <w:pPr>
        <w:pStyle w:val="Normal"/>
        <w:spacing w:lineRule="auto" w:line="480" w:before="0" w:after="0"/>
        <w:ind w:end="0"/>
        <w:rPr/>
      </w:pPr>
      <w:r>
        <w:rPr>
          <w:b/>
          <w:bCs/>
          <w:sz w:val="36"/>
          <w:szCs w:val="36"/>
        </w:rPr>
        <w:t>Research Involving Human or Animal Subjects</w:t>
      </w:r>
    </w:p>
    <w:p>
      <w:pPr>
        <w:pStyle w:val="Normal"/>
        <w:spacing w:lineRule="auto" w:line="480" w:before="0" w:after="0"/>
        <w:ind w:end="0"/>
        <w:rPr/>
      </w:pPr>
      <w:r>
        <w:rPr/>
        <w:t>All studies contained in this thesis were approved by the University of Queensland’s Health Medicine and Behavioural Sciences Low and Negligible Risk or Greater than Low Risk Ethics Sub-Committees. Approval Numbers are as follows:</w:t>
      </w:r>
    </w:p>
    <w:p>
      <w:pPr>
        <w:pStyle w:val="Normal"/>
        <w:spacing w:lineRule="auto" w:line="480" w:before="0" w:after="0"/>
        <w:ind w:end="0"/>
        <w:rPr/>
      </w:pPr>
      <w:r>
        <w:rPr/>
        <w:t xml:space="preserve">Chapter 1: </w:t>
      </w:r>
      <w:r>
        <w:rPr>
          <w:rFonts w:eastAsia="SimSun"/>
          <w:lang w:eastAsia="en-AU"/>
        </w:rPr>
        <w:t>2025/HE001707</w:t>
      </w:r>
    </w:p>
    <w:p>
      <w:pPr>
        <w:pStyle w:val="Normal"/>
        <w:spacing w:lineRule="auto" w:line="480" w:before="0" w:after="0"/>
        <w:ind w:end="0"/>
        <w:rPr/>
      </w:pPr>
      <w:r>
        <w:rPr/>
        <w:t>Chapter 2: 2025/HE002550</w:t>
      </w:r>
    </w:p>
    <w:p>
      <w:pPr>
        <w:pStyle w:val="BodyText"/>
        <w:spacing w:lineRule="auto" w:line="360"/>
        <w:ind w:end="194"/>
        <w:rPr>
          <w:kern w:val="2"/>
          <w14:ligatures w14:val="standardContextual"/>
        </w:rPr>
      </w:pPr>
      <w:r>
        <w:rPr>
          <w:kern w:val="2"/>
          <w14:ligatures w14:val="standardContextual"/>
        </w:rPr>
      </w:r>
    </w:p>
    <w:p>
      <w:pPr>
        <w:pStyle w:val="BodyText"/>
        <w:spacing w:lineRule="auto" w:line="360"/>
        <w:ind w:end="194"/>
        <w:rPr>
          <w:color w:val="7030A0"/>
          <w:kern w:val="2"/>
          <w14:ligatures w14:val="standardContextual"/>
        </w:rPr>
      </w:pPr>
      <w:r>
        <w:rPr>
          <w:color w:val="7030A0"/>
          <w:kern w:val="2"/>
          <w14:ligatures w14:val="standardContextual"/>
        </w:rPr>
      </w:r>
    </w:p>
    <w:p>
      <w:pPr>
        <w:pStyle w:val="Normal"/>
        <w:rPr>
          <w:color w:val="7030A0"/>
          <w:kern w:val="2"/>
          <w14:ligatures w14:val="standardContextual"/>
        </w:rPr>
      </w:pPr>
      <w:r>
        <w:rPr>
          <w:color w:val="7030A0"/>
          <w:kern w:val="2"/>
          <w14:ligatures w14:val="standardContextual"/>
        </w:rPr>
      </w:r>
      <w:r>
        <w:br w:type="page"/>
      </w:r>
    </w:p>
    <w:p>
      <w:pPr>
        <w:pStyle w:val="Normal"/>
        <w:spacing w:lineRule="auto" w:line="360" w:before="0" w:after="0"/>
        <w:rPr>
          <w:b/>
          <w:bCs/>
          <w:sz w:val="36"/>
          <w:szCs w:val="36"/>
        </w:rPr>
      </w:pPr>
      <w:r>
        <w:rPr>
          <w:b/>
          <w:bCs/>
          <w:sz w:val="36"/>
          <w:szCs w:val="36"/>
        </w:rPr>
        <w:t>Acknowledgments</w:t>
      </w:r>
    </w:p>
    <w:p>
      <w:pPr>
        <w:pStyle w:val="BodyText"/>
        <w:spacing w:lineRule="auto" w:line="360"/>
        <w:rPr>
          <w:i/>
          <w:i/>
          <w:iCs/>
          <w:kern w:val="2"/>
          <w14:ligatures w14:val="standardContextual"/>
        </w:rPr>
      </w:pPr>
      <w:r>
        <w:rPr>
          <w:i/>
          <w:iCs/>
          <w:kern w:val="2"/>
          <w14:ligatures w14:val="standardContextual"/>
        </w:rPr>
      </w:r>
    </w:p>
    <w:p>
      <w:pPr>
        <w:pStyle w:val="Normal"/>
        <w:rPr>
          <w:b/>
          <w:bCs/>
          <w:kern w:val="2"/>
          <w:sz w:val="34"/>
          <w:szCs w:val="34"/>
          <w14:ligatures w14:val="standardContextual"/>
        </w:rPr>
      </w:pPr>
      <w:r>
        <w:rPr>
          <w:b/>
          <w:bCs/>
          <w:kern w:val="2"/>
          <w:sz w:val="34"/>
          <w:szCs w:val="34"/>
          <w14:ligatures w14:val="standardContextual"/>
        </w:rPr>
      </w:r>
      <w:r>
        <w:br w:type="page"/>
      </w:r>
    </w:p>
    <w:p>
      <w:pPr>
        <w:pStyle w:val="BodyText"/>
        <w:spacing w:before="0" w:after="0"/>
        <w:rPr>
          <w:sz w:val="2"/>
        </w:rPr>
      </w:pPr>
      <w:r>
        <w:rPr>
          <w:sz w:val="2"/>
        </w:rPr>
      </w:r>
    </w:p>
    <w:p>
      <w:pPr>
        <w:pStyle w:val="Normal"/>
        <w:rPr>
          <w:b/>
          <w:bCs/>
          <w:sz w:val="36"/>
          <w:szCs w:val="36"/>
        </w:rPr>
      </w:pPr>
      <w:bookmarkStart w:id="3" w:name="Contents"/>
      <w:bookmarkStart w:id="4" w:name="_bookmark1"/>
      <w:bookmarkEnd w:id="3"/>
      <w:bookmarkEnd w:id="4"/>
      <w:r>
        <w:rPr>
          <w:b/>
          <w:bCs/>
          <w:sz w:val="36"/>
          <w:szCs w:val="36"/>
        </w:rPr>
        <w:t>Table of Contents</w:t>
      </w:r>
    </w:p>
    <w:p>
      <w:pPr>
        <w:pStyle w:val="Normal"/>
        <w:rPr>
          <w:sz w:val="24"/>
          <w:szCs w:val="24"/>
        </w:rPr>
      </w:pPr>
      <w:r>
        <w:rPr>
          <w:sz w:val="24"/>
          <w:szCs w:val="24"/>
        </w:rPr>
      </w:r>
    </w:p>
    <w:p>
      <w:pPr>
        <w:pStyle w:val="Normal"/>
        <w:rPr>
          <w:b/>
          <w:sz w:val="24"/>
          <w:szCs w:val="24"/>
        </w:rPr>
      </w:pPr>
      <w:r>
        <w:rPr>
          <w:b/>
          <w:sz w:val="24"/>
          <w:szCs w:val="24"/>
        </w:rPr>
      </w:r>
    </w:p>
    <w:sdt>
      <w:sdtPr>
        <w:docPartObj>
          <w:docPartGallery w:val="Table of Contents"/>
          <w:docPartUnique w:val="true"/>
        </w:docPartObj>
      </w:sdtPr>
      <w:sdtContent>
        <w:p>
          <w:pPr>
            <w:pStyle w:val="TOC1"/>
            <w:tabs>
              <w:tab w:val="clear" w:pos="9980"/>
              <w:tab w:val="right" w:pos="9985" w:leader="dot"/>
            </w:tabs>
            <w:rPr/>
          </w:pPr>
          <w:r>
            <w:fldChar w:fldCharType="begin"/>
          </w:r>
          <w:r>
            <w:rPr>
              <w:rStyle w:val="IndexLink"/>
              <w:vanish w:val="false"/>
            </w:rPr>
            <w:instrText xml:space="preserve"> TOC \z \o "1-9" \u \h</w:instrText>
          </w:r>
          <w:r>
            <w:rPr>
              <w:rStyle w:val="IndexLink"/>
              <w:vanish w:val="false"/>
            </w:rPr>
            <w:fldChar w:fldCharType="separate"/>
          </w:r>
          <w:r>
            <w:rPr>
              <w:rStyle w:val="IndexLink"/>
              <w:vanish w:val="false"/>
            </w:rPr>
            <w:t>List of Figures</w:t>
          </w:r>
          <w:r>
            <w:rPr>
              <w:vanish w:val="false"/>
            </w:rPr>
            <w:tab/>
            <w:t>xii</w:t>
          </w:r>
        </w:p>
        <w:p>
          <w:pPr>
            <w:pStyle w:val="TOC1"/>
            <w:tabs>
              <w:tab w:val="clear" w:pos="9980"/>
              <w:tab w:val="right" w:pos="9985" w:leader="dot"/>
            </w:tabs>
            <w:rPr/>
          </w:pPr>
          <w:r>
            <w:rPr>
              <w:vanish w:val="false"/>
            </w:rPr>
            <w:t>List of Tables</w:t>
            <w:tab/>
            <w:t>xiii</w:t>
          </w:r>
        </w:p>
        <w:p>
          <w:pPr>
            <w:pStyle w:val="TOC1"/>
            <w:tabs>
              <w:tab w:val="clear" w:pos="9980"/>
              <w:tab w:val="right" w:pos="9985" w:leader="dot"/>
            </w:tabs>
            <w:rPr/>
          </w:pPr>
          <w:r>
            <w:rPr>
              <w:vanish w:val="false"/>
            </w:rPr>
            <w:t>List of Abbreviations and Symbols</w:t>
            <w:tab/>
            <w:t>xiv</w:t>
          </w:r>
        </w:p>
        <w:p>
          <w:pPr>
            <w:pStyle w:val="TOC1"/>
            <w:tabs>
              <w:tab w:val="clear" w:pos="9980"/>
              <w:tab w:val="right" w:pos="9985" w:leader="dot"/>
            </w:tabs>
            <w:rPr/>
          </w:pPr>
          <w:r>
            <w:rPr>
              <w:vanish w:val="false"/>
            </w:rPr>
            <w:t>Chapter 1 : Introduction</w:t>
            <w:tab/>
            <w:t>1</w:t>
          </w:r>
        </w:p>
        <w:p>
          <w:pPr>
            <w:pStyle w:val="TOC2"/>
            <w:tabs>
              <w:tab w:val="clear" w:pos="720"/>
              <w:tab w:val="left" w:pos="880" w:leader="none"/>
              <w:tab w:val="right" w:pos="9985" w:leader="dot"/>
            </w:tabs>
            <w:rPr/>
          </w:pPr>
          <w:r>
            <w:rPr>
              <w:vanish w:val="false"/>
            </w:rPr>
            <w:t>1.1</w:t>
            <w:tab/>
            <w:t>Heading 1</w:t>
            <w:tab/>
            <w:t>1</w:t>
          </w:r>
        </w:p>
        <w:p>
          <w:pPr>
            <w:pStyle w:val="TOC3"/>
            <w:tabs>
              <w:tab w:val="clear" w:pos="720"/>
              <w:tab w:val="left" w:pos="1320" w:leader="none"/>
              <w:tab w:val="right" w:pos="9985" w:leader="dot"/>
            </w:tabs>
            <w:rPr/>
          </w:pPr>
          <w:r>
            <w:rPr>
              <w:vanish w:val="false"/>
            </w:rPr>
            <w:t>1.1.1</w:t>
            <w:tab/>
            <w:t>Heading 2</w:t>
            <w:tab/>
            <w:t>1</w:t>
          </w:r>
        </w:p>
        <w:p>
          <w:pPr>
            <w:pStyle w:val="TOC3"/>
            <w:tabs>
              <w:tab w:val="clear" w:pos="720"/>
              <w:tab w:val="left" w:pos="1320" w:leader="none"/>
              <w:tab w:val="right" w:pos="9985" w:leader="dot"/>
            </w:tabs>
            <w:rPr/>
          </w:pPr>
          <w:r>
            <w:rPr>
              <w:vanish w:val="false"/>
            </w:rPr>
            <w:t>1.1.2</w:t>
            <w:tab/>
            <w:t>Heading 2</w:t>
            <w:tab/>
            <w:t>1</w:t>
          </w:r>
        </w:p>
        <w:p>
          <w:pPr>
            <w:pStyle w:val="TOC2"/>
            <w:tabs>
              <w:tab w:val="clear" w:pos="720"/>
              <w:tab w:val="left" w:pos="880" w:leader="none"/>
              <w:tab w:val="right" w:pos="9985" w:leader="dot"/>
            </w:tabs>
            <w:rPr/>
          </w:pPr>
          <w:r>
            <w:rPr>
              <w:vanish w:val="false"/>
            </w:rPr>
            <w:t>1.2</w:t>
            <w:tab/>
            <w:t>Heading 1</w:t>
            <w:tab/>
            <w:t>1</w:t>
          </w:r>
        </w:p>
        <w:p>
          <w:pPr>
            <w:pStyle w:val="TOC3"/>
            <w:tabs>
              <w:tab w:val="clear" w:pos="720"/>
              <w:tab w:val="left" w:pos="1320" w:leader="none"/>
              <w:tab w:val="right" w:pos="9985" w:leader="dot"/>
            </w:tabs>
            <w:rPr/>
          </w:pPr>
          <w:r>
            <w:rPr>
              <w:vanish w:val="false"/>
            </w:rPr>
            <w:t>1.2.1</w:t>
            <w:tab/>
            <w:t>Heading 2</w:t>
            <w:tab/>
            <w:t>1</w:t>
          </w:r>
        </w:p>
        <w:p>
          <w:pPr>
            <w:pStyle w:val="TOC1"/>
            <w:tabs>
              <w:tab w:val="clear" w:pos="9980"/>
              <w:tab w:val="right" w:pos="9985" w:leader="dot"/>
            </w:tabs>
            <w:rPr/>
          </w:pPr>
          <w:r>
            <w:rPr>
              <w:vanish w:val="false"/>
            </w:rPr>
            <w:t>Chapter 2 : Robot-oriented Altruism Part I</w:t>
            <w:tab/>
            <w:t>3</w:t>
          </w:r>
        </w:p>
        <w:p>
          <w:pPr>
            <w:pStyle w:val="TOC2"/>
            <w:tabs>
              <w:tab w:val="clear" w:pos="720"/>
              <w:tab w:val="left" w:pos="880" w:leader="none"/>
              <w:tab w:val="right" w:pos="9985" w:leader="dot"/>
            </w:tabs>
            <w:rPr/>
          </w:pPr>
          <w:r>
            <w:rPr>
              <w:vanish w:val="false"/>
            </w:rPr>
            <w:t>2.1</w:t>
            <w:tab/>
            <w:t>Introduction</w:t>
            <w:tab/>
            <w:t>3</w:t>
          </w:r>
        </w:p>
        <w:p>
          <w:pPr>
            <w:pStyle w:val="TOC3"/>
            <w:tabs>
              <w:tab w:val="clear" w:pos="720"/>
              <w:tab w:val="left" w:pos="1320" w:leader="none"/>
              <w:tab w:val="right" w:pos="9985" w:leader="dot"/>
            </w:tabs>
            <w:rPr/>
          </w:pPr>
          <w:r>
            <w:rPr>
              <w:vanish w:val="false"/>
            </w:rPr>
            <w:t>2.1.1</w:t>
            <w:tab/>
            <w:t>Socialising with Robots</w:t>
            <w:tab/>
            <w:t>3</w:t>
          </w:r>
        </w:p>
        <w:p>
          <w:pPr>
            <w:pStyle w:val="TOC3"/>
            <w:tabs>
              <w:tab w:val="clear" w:pos="720"/>
              <w:tab w:val="left" w:pos="1320" w:leader="none"/>
              <w:tab w:val="right" w:pos="9985" w:leader="dot"/>
            </w:tabs>
            <w:rPr/>
          </w:pPr>
          <w:r>
            <w:rPr>
              <w:vanish w:val="false"/>
            </w:rPr>
            <w:t>2.1.2</w:t>
            <w:tab/>
            <w:t>Altruism and costly helping</w:t>
            <w:tab/>
            <w:t>3</w:t>
          </w:r>
        </w:p>
        <w:p>
          <w:pPr>
            <w:pStyle w:val="TOC3"/>
            <w:tabs>
              <w:tab w:val="clear" w:pos="720"/>
              <w:tab w:val="left" w:pos="1320" w:leader="none"/>
              <w:tab w:val="right" w:pos="9985" w:leader="dot"/>
            </w:tabs>
            <w:rPr/>
          </w:pPr>
          <w:r>
            <w:rPr>
              <w:vanish w:val="false"/>
            </w:rPr>
            <w:t>2.1.3</w:t>
            <w:tab/>
            <w:t>Prosocial behaviour towards social robots</w:t>
            <w:tab/>
            <w:t>5</w:t>
          </w:r>
        </w:p>
        <w:p>
          <w:pPr>
            <w:pStyle w:val="TOC3"/>
            <w:tabs>
              <w:tab w:val="clear" w:pos="720"/>
              <w:tab w:val="left" w:pos="1320" w:leader="none"/>
              <w:tab w:val="right" w:pos="9985" w:leader="dot"/>
            </w:tabs>
            <w:rPr/>
          </w:pPr>
          <w:r>
            <w:rPr>
              <w:vanish w:val="false"/>
            </w:rPr>
            <w:t>2.1.4</w:t>
            <w:tab/>
            <w:t>Psychological predictors of robot-directed helping</w:t>
            <w:tab/>
            <w:t>6</w:t>
          </w:r>
        </w:p>
        <w:p>
          <w:pPr>
            <w:pStyle w:val="TOC3"/>
            <w:tabs>
              <w:tab w:val="clear" w:pos="720"/>
              <w:tab w:val="left" w:pos="1320" w:leader="none"/>
              <w:tab w:val="right" w:pos="9985" w:leader="dot"/>
            </w:tabs>
            <w:rPr/>
          </w:pPr>
          <w:r>
            <w:rPr>
              <w:vanish w:val="false"/>
            </w:rPr>
            <w:t>2.1.5</w:t>
            <w:tab/>
            <w:t>Attitudes and likeability</w:t>
            <w:tab/>
            <w:t>6</w:t>
          </w:r>
        </w:p>
        <w:p>
          <w:pPr>
            <w:pStyle w:val="TOC3"/>
            <w:tabs>
              <w:tab w:val="clear" w:pos="720"/>
              <w:tab w:val="left" w:pos="1320" w:leader="none"/>
              <w:tab w:val="right" w:pos="9985" w:leader="dot"/>
            </w:tabs>
            <w:rPr/>
          </w:pPr>
          <w:r>
            <w:rPr>
              <w:vanish w:val="false"/>
            </w:rPr>
            <w:t>2.1.6</w:t>
            <w:tab/>
            <w:t>Anthropomorphism and humanisation</w:t>
            <w:tab/>
            <w:t>7</w:t>
          </w:r>
        </w:p>
        <w:p>
          <w:pPr>
            <w:pStyle w:val="TOC3"/>
            <w:tabs>
              <w:tab w:val="clear" w:pos="720"/>
              <w:tab w:val="left" w:pos="1320" w:leader="none"/>
              <w:tab w:val="right" w:pos="9985" w:leader="dot"/>
            </w:tabs>
            <w:rPr/>
          </w:pPr>
          <w:r>
            <w:rPr>
              <w:vanish w:val="false"/>
            </w:rPr>
            <w:t>2.1.7</w:t>
            <w:tab/>
            <w:t>Empathy</w:t>
            <w:tab/>
            <w:t>8</w:t>
          </w:r>
        </w:p>
        <w:p>
          <w:pPr>
            <w:pStyle w:val="TOC3"/>
            <w:tabs>
              <w:tab w:val="clear" w:pos="720"/>
              <w:tab w:val="left" w:pos="1320" w:leader="none"/>
              <w:tab w:val="right" w:pos="9985" w:leader="dot"/>
            </w:tabs>
            <w:rPr/>
          </w:pPr>
          <w:r>
            <w:rPr>
              <w:vanish w:val="false"/>
            </w:rPr>
            <w:t>2.1.8</w:t>
            <w:tab/>
            <w:t>Mind attribution and the reality of robot benefit</w:t>
            <w:tab/>
            <w:t>9</w:t>
          </w:r>
        </w:p>
        <w:p>
          <w:pPr>
            <w:pStyle w:val="TOC3"/>
            <w:tabs>
              <w:tab w:val="clear" w:pos="720"/>
              <w:tab w:val="left" w:pos="1320" w:leader="none"/>
              <w:tab w:val="right" w:pos="9985" w:leader="dot"/>
            </w:tabs>
            <w:rPr/>
          </w:pPr>
          <w:r>
            <w:rPr>
              <w:vanish w:val="false"/>
            </w:rPr>
            <w:t>2.1.9</w:t>
            <w:tab/>
            <w:t>The present study</w:t>
            <w:tab/>
            <w:t>10</w:t>
          </w:r>
        </w:p>
        <w:p>
          <w:pPr>
            <w:pStyle w:val="TOC2"/>
            <w:tabs>
              <w:tab w:val="clear" w:pos="720"/>
              <w:tab w:val="left" w:pos="880" w:leader="none"/>
              <w:tab w:val="right" w:pos="9985" w:leader="dot"/>
            </w:tabs>
            <w:rPr/>
          </w:pPr>
          <w:r>
            <w:rPr>
              <w:vanish w:val="false"/>
            </w:rPr>
            <w:t>2.2</w:t>
            <w:tab/>
            <w:t>Method</w:t>
            <w:tab/>
            <w:t>11</w:t>
          </w:r>
        </w:p>
        <w:p>
          <w:pPr>
            <w:pStyle w:val="TOC3"/>
            <w:tabs>
              <w:tab w:val="clear" w:pos="720"/>
              <w:tab w:val="left" w:pos="1320" w:leader="none"/>
              <w:tab w:val="right" w:pos="9985" w:leader="dot"/>
            </w:tabs>
            <w:rPr/>
          </w:pPr>
          <w:r>
            <w:rPr>
              <w:vanish w:val="false"/>
            </w:rPr>
            <w:t>2.2.1</w:t>
            <w:tab/>
            <w:t>Materials</w:t>
            <w:tab/>
            <w:t>11</w:t>
          </w:r>
        </w:p>
        <w:p>
          <w:pPr>
            <w:pStyle w:val="TOC3"/>
            <w:tabs>
              <w:tab w:val="clear" w:pos="720"/>
              <w:tab w:val="left" w:pos="1320" w:leader="none"/>
              <w:tab w:val="right" w:pos="9985" w:leader="dot"/>
            </w:tabs>
            <w:rPr/>
          </w:pPr>
          <w:r>
            <w:rPr>
              <w:vanish w:val="false"/>
            </w:rPr>
            <w:t>2.2.2</w:t>
            <w:tab/>
            <w:t>Pre-registration</w:t>
            <w:tab/>
            <w:t>11</w:t>
          </w:r>
        </w:p>
        <w:p>
          <w:pPr>
            <w:pStyle w:val="TOC3"/>
            <w:tabs>
              <w:tab w:val="clear" w:pos="720"/>
              <w:tab w:val="left" w:pos="1320" w:leader="none"/>
              <w:tab w:val="right" w:pos="9985" w:leader="dot"/>
            </w:tabs>
            <w:rPr/>
          </w:pPr>
          <w:r>
            <w:rPr>
              <w:vanish w:val="false"/>
            </w:rPr>
            <w:t>2.2.3</w:t>
            <w:tab/>
            <w:t>Design</w:t>
            <w:tab/>
            <w:t>11</w:t>
          </w:r>
        </w:p>
        <w:p>
          <w:pPr>
            <w:pStyle w:val="TOC3"/>
            <w:tabs>
              <w:tab w:val="clear" w:pos="720"/>
              <w:tab w:val="left" w:pos="1320" w:leader="none"/>
              <w:tab w:val="right" w:pos="9985" w:leader="dot"/>
            </w:tabs>
            <w:rPr/>
          </w:pPr>
          <w:r>
            <w:rPr>
              <w:vanish w:val="false"/>
            </w:rPr>
            <w:t>2.2.4</w:t>
            <w:tab/>
            <w:t>Measures</w:t>
            <w:tab/>
            <w:t>16</w:t>
          </w:r>
        </w:p>
        <w:p>
          <w:pPr>
            <w:pStyle w:val="TOC3"/>
            <w:tabs>
              <w:tab w:val="clear" w:pos="720"/>
              <w:tab w:val="left" w:pos="1320" w:leader="none"/>
              <w:tab w:val="right" w:pos="9985" w:leader="dot"/>
            </w:tabs>
            <w:rPr/>
          </w:pPr>
          <w:r>
            <w:rPr>
              <w:vanish w:val="false"/>
            </w:rPr>
            <w:t>2.2.5</w:t>
            <w:tab/>
            <w:t>Hypotheses and Predictions</w:t>
            <w:tab/>
            <w:t>16</w:t>
          </w:r>
        </w:p>
        <w:p>
          <w:pPr>
            <w:pStyle w:val="TOC3"/>
            <w:tabs>
              <w:tab w:val="clear" w:pos="720"/>
              <w:tab w:val="left" w:pos="1320" w:leader="none"/>
              <w:tab w:val="right" w:pos="9985" w:leader="dot"/>
            </w:tabs>
            <w:rPr/>
          </w:pPr>
          <w:r>
            <w:rPr>
              <w:vanish w:val="false"/>
            </w:rPr>
            <w:t>2.2.6</w:t>
            <w:tab/>
            <w:t>Power Analysis</w:t>
            <w:tab/>
            <w:t>16</w:t>
          </w:r>
        </w:p>
        <w:p>
          <w:pPr>
            <w:pStyle w:val="TOC3"/>
            <w:tabs>
              <w:tab w:val="clear" w:pos="720"/>
              <w:tab w:val="left" w:pos="1320" w:leader="none"/>
              <w:tab w:val="right" w:pos="9985" w:leader="dot"/>
            </w:tabs>
            <w:rPr/>
          </w:pPr>
          <w:r>
            <w:rPr>
              <w:vanish w:val="false"/>
            </w:rPr>
            <w:t>2.2.7</w:t>
            <w:tab/>
            <w:t>Participants</w:t>
            <w:tab/>
            <w:t>17</w:t>
          </w:r>
        </w:p>
        <w:p>
          <w:pPr>
            <w:pStyle w:val="TOC2"/>
            <w:tabs>
              <w:tab w:val="clear" w:pos="720"/>
              <w:tab w:val="left" w:pos="880" w:leader="none"/>
              <w:tab w:val="right" w:pos="9985" w:leader="dot"/>
            </w:tabs>
            <w:rPr/>
          </w:pPr>
          <w:r>
            <w:rPr>
              <w:vanish w:val="false"/>
            </w:rPr>
            <w:t>2.3</w:t>
            <w:tab/>
            <w:t>Results</w:t>
            <w:tab/>
            <w:t>17</w:t>
          </w:r>
        </w:p>
        <w:p>
          <w:pPr>
            <w:pStyle w:val="TOC3"/>
            <w:tabs>
              <w:tab w:val="clear" w:pos="720"/>
              <w:tab w:val="left" w:pos="1320" w:leader="none"/>
              <w:tab w:val="right" w:pos="9985" w:leader="dot"/>
            </w:tabs>
            <w:rPr/>
          </w:pPr>
          <w:r>
            <w:rPr>
              <w:vanish w:val="false"/>
            </w:rPr>
            <w:t>2.3.1</w:t>
            <w:tab/>
            <w:t>Descriptive statistics</w:t>
            <w:tab/>
            <w:t>17</w:t>
          </w:r>
        </w:p>
        <w:p>
          <w:pPr>
            <w:pStyle w:val="TOC3"/>
            <w:tabs>
              <w:tab w:val="clear" w:pos="720"/>
              <w:tab w:val="left" w:pos="1320" w:leader="none"/>
              <w:tab w:val="right" w:pos="9985" w:leader="dot"/>
            </w:tabs>
            <w:rPr/>
          </w:pPr>
          <w:r>
            <w:rPr>
              <w:vanish w:val="false"/>
            </w:rPr>
            <w:t>2.3.2</w:t>
            <w:tab/>
            <w:t>Associations among robot-response measures</w:t>
            <w:tab/>
            <w:t>18</w:t>
          </w:r>
        </w:p>
        <w:p>
          <w:pPr>
            <w:pStyle w:val="TOC3"/>
            <w:tabs>
              <w:tab w:val="clear" w:pos="720"/>
              <w:tab w:val="left" w:pos="1320" w:leader="none"/>
              <w:tab w:val="right" w:pos="9985" w:leader="dot"/>
            </w:tabs>
            <w:rPr/>
          </w:pPr>
          <w:r>
            <w:rPr>
              <w:vanish w:val="false"/>
            </w:rPr>
            <w:t>2.3.3</w:t>
            <w:tab/>
            <w:t>Primary negative binomial regression</w:t>
            <w:tab/>
            <w:t>18</w:t>
          </w:r>
        </w:p>
        <w:p>
          <w:pPr>
            <w:pStyle w:val="TOC3"/>
            <w:tabs>
              <w:tab w:val="clear" w:pos="720"/>
              <w:tab w:val="left" w:pos="1320" w:leader="none"/>
              <w:tab w:val="right" w:pos="9985" w:leader="dot"/>
            </w:tabs>
            <w:rPr/>
          </w:pPr>
          <w:r>
            <w:rPr>
              <w:vanish w:val="false"/>
            </w:rPr>
            <w:t>2.3.4</w:t>
            <w:tab/>
            <w:t>Exploratory models</w:t>
            <w:tab/>
            <w:t>20</w:t>
          </w:r>
        </w:p>
        <w:p>
          <w:pPr>
            <w:pStyle w:val="TOC3"/>
            <w:tabs>
              <w:tab w:val="clear" w:pos="720"/>
              <w:tab w:val="left" w:pos="1320" w:leader="none"/>
              <w:tab w:val="right" w:pos="9985" w:leader="dot"/>
            </w:tabs>
            <w:rPr/>
          </w:pPr>
          <w:r>
            <w:rPr>
              <w:vanish w:val="false"/>
            </w:rPr>
            <w:t>2.3.5</w:t>
            <w:tab/>
            <w:t>Influence and sensitivity analyses</w:t>
            <w:tab/>
            <w:t>21</w:t>
          </w:r>
        </w:p>
        <w:p>
          <w:pPr>
            <w:pStyle w:val="TOC2"/>
            <w:tabs>
              <w:tab w:val="clear" w:pos="720"/>
              <w:tab w:val="left" w:pos="880" w:leader="none"/>
              <w:tab w:val="right" w:pos="9985" w:leader="dot"/>
            </w:tabs>
            <w:rPr/>
          </w:pPr>
          <w:r>
            <w:rPr>
              <w:vanish w:val="false"/>
            </w:rPr>
            <w:t>2.4</w:t>
            <w:tab/>
            <w:t>Discussion</w:t>
            <w:tab/>
            <w:t>23</w:t>
          </w:r>
        </w:p>
        <w:p>
          <w:pPr>
            <w:pStyle w:val="TOC1"/>
            <w:tabs>
              <w:tab w:val="clear" w:pos="9980"/>
              <w:tab w:val="right" w:pos="9985" w:leader="dot"/>
            </w:tabs>
            <w:rPr/>
          </w:pPr>
          <w:r>
            <w:rPr>
              <w:vanish w:val="false"/>
            </w:rPr>
            <w:t>References</w:t>
            <w:tab/>
            <w:t>24</w:t>
          </w:r>
        </w:p>
        <w:p>
          <w:pPr>
            <w:pStyle w:val="TOC1"/>
            <w:tabs>
              <w:tab w:val="clear" w:pos="9980"/>
              <w:tab w:val="right" w:pos="9985" w:leader="dot"/>
            </w:tabs>
            <w:rPr/>
          </w:pPr>
          <w:r>
            <w:rPr>
              <w:vanish w:val="false"/>
            </w:rPr>
            <w:t>Appendix A</w:t>
            <w:tab/>
            <w:t>25</w:t>
          </w:r>
        </w:p>
        <w:p>
          <w:pPr>
            <w:pStyle w:val="TOC2"/>
            <w:tabs>
              <w:tab w:val="clear" w:pos="720"/>
              <w:tab w:val="left" w:pos="880" w:leader="none"/>
              <w:tab w:val="right" w:pos="9985" w:leader="dot"/>
            </w:tabs>
            <w:rPr/>
          </w:pPr>
          <w:r>
            <w:rPr>
              <w:vanish w:val="false"/>
            </w:rPr>
            <w:tab/>
            <w:t>Semantic Priming of Humanisation Ethics Approval</w:t>
            <w:tab/>
            <w:t>25</w:t>
          </w:r>
        </w:p>
        <w:p>
          <w:pPr>
            <w:pStyle w:val="TOC1"/>
            <w:tabs>
              <w:tab w:val="clear" w:pos="9980"/>
              <w:tab w:val="right" w:pos="9985" w:leader="dot"/>
            </w:tabs>
            <w:rPr/>
          </w:pPr>
          <w:r>
            <w:rPr>
              <w:vanish w:val="false"/>
            </w:rPr>
            <w:t>Appendix B</w:t>
            <w:tab/>
            <w:t>26</w:t>
          </w:r>
        </w:p>
        <w:p>
          <w:pPr>
            <w:pStyle w:val="TOC2"/>
            <w:tabs>
              <w:tab w:val="clear" w:pos="720"/>
              <w:tab w:val="left" w:pos="880" w:leader="none"/>
              <w:tab w:val="right" w:pos="9985" w:leader="dot"/>
            </w:tabs>
            <w:rPr/>
          </w:pPr>
          <w:r>
            <w:rPr>
              <w:vanish w:val="false"/>
            </w:rPr>
            <w:tab/>
            <w:t>Robot-oriented Altruism Part I Ethics Approval</w:t>
            <w:tab/>
            <w:t>26</w:t>
          </w:r>
        </w:p>
        <w:p>
          <w:pPr>
            <w:pStyle w:val="TOC1"/>
            <w:tabs>
              <w:tab w:val="clear" w:pos="9980"/>
              <w:tab w:val="right" w:pos="9985" w:leader="dot"/>
            </w:tabs>
            <w:rPr/>
          </w:pPr>
          <w:r>
            <w:rPr>
              <w:vanish w:val="false"/>
            </w:rPr>
            <w:t>Appendix C</w:t>
            <w:tab/>
            <w:t>27</w:t>
          </w:r>
        </w:p>
        <w:p>
          <w:pPr>
            <w:pStyle w:val="TOC2"/>
            <w:tabs>
              <w:tab w:val="clear" w:pos="720"/>
              <w:tab w:val="left" w:pos="880" w:leader="none"/>
              <w:tab w:val="right" w:pos="9985" w:leader="dot"/>
            </w:tabs>
            <w:rPr/>
          </w:pPr>
          <w:r>
            <w:rPr>
              <w:vanish w:val="false"/>
            </w:rPr>
            <w:tab/>
            <w:t>System Prompt for Zeke the Robot</w:t>
            <w:tab/>
            <w:t>27</w:t>
          </w:r>
          <w:r>
            <w:rPr>
              <w:vanish w:val="false"/>
            </w:rPr>
            <w:fldChar w:fldCharType="end"/>
          </w:r>
        </w:p>
      </w:sdtContent>
    </w:sdt>
    <w:p>
      <w:pPr>
        <w:pStyle w:val="TOC1"/>
        <w:rPr/>
      </w:pPr>
      <w:r>
        <w:rPr/>
      </w:r>
    </w:p>
    <w:p>
      <w:pPr>
        <w:pStyle w:val="Normal"/>
        <w:rPr>
          <w:b/>
          <w:sz w:val="20"/>
          <w:szCs w:val="24"/>
        </w:rPr>
      </w:pPr>
      <w:r>
        <w:rPr>
          <w:b/>
          <w:sz w:val="20"/>
          <w:szCs w:val="24"/>
        </w:rPr>
      </w:r>
      <w:r>
        <w:br w:type="page"/>
      </w:r>
    </w:p>
    <w:p>
      <w:pPr>
        <w:pStyle w:val="ThesisTitles"/>
        <w:spacing w:before="0" w:after="0"/>
        <w:rPr/>
      </w:pPr>
      <w:bookmarkStart w:id="5" w:name="__RefHeading___Toc19399_3782221355"/>
      <w:bookmarkStart w:id="6" w:name="_Toc198550971"/>
      <w:bookmarkStart w:id="7" w:name="List_of_Figures"/>
      <w:bookmarkStart w:id="8" w:name="_bookmark2"/>
      <w:bookmarkEnd w:id="5"/>
      <w:bookmarkEnd w:id="7"/>
      <w:bookmarkEnd w:id="8"/>
      <w:r>
        <w:rPr>
          <w:spacing w:val="7"/>
        </w:rPr>
        <w:t xml:space="preserve">List </w:t>
      </w:r>
      <w:r>
        <w:rPr/>
        <w:t>of</w:t>
      </w:r>
      <w:r>
        <w:rPr>
          <w:spacing w:val="7"/>
        </w:rPr>
        <w:t xml:space="preserve"> </w:t>
      </w:r>
      <w:r>
        <w:rPr/>
        <w:t>Figures</w:t>
      </w:r>
      <w:bookmarkEnd w:id="6"/>
    </w:p>
    <w:p>
      <w:pPr>
        <w:pStyle w:val="Normal"/>
        <w:spacing w:before="0" w:after="0"/>
        <w:rPr/>
      </w:pPr>
      <w:r>
        <w:rPr/>
      </w:r>
    </w:p>
    <w:p>
      <w:pPr>
        <w:pStyle w:val="TableofFigures"/>
        <w:tabs>
          <w:tab w:val="clear" w:pos="720"/>
          <w:tab w:val="right" w:pos="9980" w:leader="dot"/>
        </w:tabs>
        <w:rPr>
          <w:rFonts w:ascii="Calibri" w:hAnsi="Calibri" w:eastAsia="" w:cs="" w:asciiTheme="minorHAnsi" w:cstheme="minorBidi" w:eastAsiaTheme="minorEastAsia" w:hAnsiTheme="minorHAnsi"/>
          <w:kern w:val="2"/>
          <w:sz w:val="24"/>
          <w:szCs w:val="24"/>
          <w:lang w:eastAsia="en-AU"/>
          <w14:ligatures w14:val="standardContextual"/>
        </w:rPr>
      </w:pPr>
      <w:r>
        <w:fldChar w:fldCharType="begin"/>
      </w:r>
      <w:r>
        <w:rPr>
          <w:rStyle w:val="IndexLink"/>
        </w:rPr>
        <w:instrText xml:space="preserve"> TOC \c "Figure" \h </w:instrText>
      </w:r>
      <w:r>
        <w:rPr>
          <w:rStyle w:val="IndexLink"/>
        </w:rPr>
        <w:fldChar w:fldCharType="separate"/>
      </w:r>
      <w:hyperlink w:anchor="_Toc198551007">
        <w:r>
          <w:rPr>
            <w:rStyle w:val="IndexLink"/>
          </w:rPr>
          <w:t>Figure 1: The University of Queensland</w:t>
        </w:r>
        <w:r>
          <w:rPr>
            <w:webHidden/>
          </w:rPr>
          <w:fldChar w:fldCharType="begin"/>
        </w:r>
        <w:r>
          <w:rPr>
            <w:webHidden/>
          </w:rPr>
          <w:instrText xml:space="preserve">PAGEREF _Toc198551007 \h</w:instrText>
        </w:r>
        <w:r>
          <w:rPr>
            <w:webHidden/>
          </w:rPr>
          <w:fldChar w:fldCharType="separate"/>
        </w:r>
        <w:r>
          <w:rPr>
            <w:rStyle w:val="IndexLink"/>
            <w:vanish w:val="false"/>
          </w:rPr>
          <w:tab/>
          <w:t>2</w:t>
        </w:r>
        <w:r>
          <w:rPr>
            <w:webHidden/>
          </w:rPr>
          <w:fldChar w:fldCharType="end"/>
        </w:r>
      </w:hyperlink>
    </w:p>
    <w:p>
      <w:pPr>
        <w:pStyle w:val="TableofFigures"/>
        <w:tabs>
          <w:tab w:val="clear" w:pos="720"/>
          <w:tab w:val="right" w:pos="9980" w:leader="dot"/>
        </w:tabs>
        <w:rPr>
          <w:rFonts w:ascii="Calibri" w:hAnsi="Calibri" w:eastAsia="" w:cs="" w:asciiTheme="minorHAnsi" w:cstheme="minorBidi" w:eastAsiaTheme="minorEastAsia" w:hAnsiTheme="minorHAnsi"/>
          <w:kern w:val="2"/>
          <w:sz w:val="24"/>
          <w:szCs w:val="24"/>
          <w:lang w:eastAsia="en-AU"/>
          <w14:ligatures w14:val="standardContextual"/>
        </w:rPr>
      </w:pPr>
      <w:hyperlink w:anchor="_Toc198551008">
        <w:r>
          <w:rPr>
            <w:rStyle w:val="IndexLink"/>
          </w:rPr>
          <w:t>Figure 2: The University of Queensland</w:t>
        </w:r>
        <w:r>
          <w:rPr>
            <w:webHidden/>
          </w:rPr>
          <w:fldChar w:fldCharType="begin"/>
        </w:r>
        <w:r>
          <w:rPr>
            <w:webHidden/>
          </w:rPr>
          <w:instrText xml:space="preserve">PAGEREF _Toc198551008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p>
      <w:pPr>
        <w:pStyle w:val="BodyText"/>
        <w:spacing w:before="170" w:after="0"/>
        <w:rPr>
          <w:sz w:val="20"/>
        </w:rPr>
      </w:pPr>
      <w:r>
        <w:rPr>
          <w:sz w:val="20"/>
        </w:rPr>
      </w:r>
    </w:p>
    <w:p>
      <w:pPr>
        <w:pStyle w:val="Normal"/>
        <w:rPr>
          <w:sz w:val="17"/>
          <w:szCs w:val="24"/>
        </w:rPr>
      </w:pPr>
      <w:r>
        <w:rPr>
          <w:sz w:val="17"/>
          <w:szCs w:val="24"/>
        </w:rPr>
      </w:r>
      <w:r>
        <w:br w:type="page"/>
      </w:r>
    </w:p>
    <w:p>
      <w:pPr>
        <w:pStyle w:val="ThesisTitles"/>
        <w:spacing w:before="0" w:after="0"/>
        <w:rPr/>
      </w:pPr>
      <w:bookmarkStart w:id="9" w:name="__RefHeading___Toc19401_3782221355"/>
      <w:bookmarkStart w:id="10" w:name="_Toc198550972"/>
      <w:bookmarkStart w:id="11" w:name="List_of_Tables"/>
      <w:bookmarkStart w:id="12" w:name="_bookmark3"/>
      <w:bookmarkEnd w:id="9"/>
      <w:bookmarkEnd w:id="11"/>
      <w:bookmarkEnd w:id="12"/>
      <w:r>
        <w:rPr/>
        <w:t>List</w:t>
      </w:r>
      <w:r>
        <w:rPr>
          <w:spacing w:val="7"/>
        </w:rPr>
        <w:t xml:space="preserve"> </w:t>
      </w:r>
      <w:r>
        <w:rPr/>
        <w:t>of</w:t>
      </w:r>
      <w:r>
        <w:rPr>
          <w:spacing w:val="7"/>
        </w:rPr>
        <w:t xml:space="preserve"> </w:t>
      </w:r>
      <w:r>
        <w:rPr/>
        <w:t>Tables</w:t>
      </w:r>
      <w:bookmarkEnd w:id="10"/>
    </w:p>
    <w:p>
      <w:pPr>
        <w:pStyle w:val="Normal"/>
        <w:rPr>
          <w:sz w:val="24"/>
          <w:szCs w:val="24"/>
        </w:rPr>
      </w:pPr>
      <w:r>
        <w:rPr>
          <w:sz w:val="24"/>
          <w:szCs w:val="24"/>
        </w:rPr>
      </w:r>
    </w:p>
    <w:p>
      <w:pPr>
        <w:pStyle w:val="BodyText"/>
        <w:rPr>
          <w:b/>
          <w:szCs w:val="36"/>
        </w:rPr>
      </w:pPr>
      <w:r>
        <w:rPr>
          <w:b/>
          <w:szCs w:val="36"/>
        </w:rPr>
      </w:r>
    </w:p>
    <w:p>
      <w:pPr>
        <w:pStyle w:val="TableofFigures"/>
        <w:tabs>
          <w:tab w:val="clear" w:pos="720"/>
          <w:tab w:val="right" w:pos="9985" w:leader="dot"/>
        </w:tabs>
        <w:rPr/>
      </w:pPr>
      <w:r>
        <w:fldChar w:fldCharType="begin"/>
      </w:r>
      <w:r>
        <w:rPr/>
        <w:instrText xml:space="preserve"> TOC \c "Table" \h </w:instrText>
      </w:r>
      <w:r>
        <w:rPr/>
        <w:fldChar w:fldCharType="separate"/>
      </w:r>
      <w:r>
        <w:rPr/>
        <w:t>Table 1: Lorem Ipsum</w:t>
        <w:tab/>
        <w:t>1</w:t>
      </w:r>
      <w:r>
        <w:rPr/>
        <w:fldChar w:fldCharType="end"/>
      </w:r>
    </w:p>
    <w:p>
      <w:pPr>
        <w:pStyle w:val="BodyText"/>
        <w:rPr>
          <w:b/>
          <w:sz w:val="20"/>
        </w:rPr>
      </w:pPr>
      <w:r>
        <w:rPr>
          <w:b/>
          <w:sz w:val="20"/>
        </w:rPr>
      </w:r>
    </w:p>
    <w:p>
      <w:pPr>
        <w:pStyle w:val="Normal"/>
        <w:tabs>
          <w:tab w:val="clear" w:pos="720"/>
          <w:tab w:val="left" w:pos="3960" w:leader="none"/>
        </w:tabs>
        <w:rPr>
          <w:sz w:val="17"/>
        </w:rPr>
      </w:pPr>
      <w:r>
        <w:rPr>
          <w:sz w:val="17"/>
        </w:rPr>
      </w:r>
    </w:p>
    <w:p>
      <w:pPr>
        <w:pStyle w:val="Normal"/>
        <w:rPr>
          <w:sz w:val="20"/>
          <w:szCs w:val="24"/>
        </w:rPr>
      </w:pPr>
      <w:r>
        <w:rPr>
          <w:sz w:val="20"/>
          <w:szCs w:val="24"/>
        </w:rPr>
      </w:r>
      <w:r>
        <w:br w:type="page"/>
      </w:r>
    </w:p>
    <w:p>
      <w:pPr>
        <w:pStyle w:val="ThesisTitles"/>
        <w:spacing w:before="0" w:after="0"/>
        <w:rPr/>
      </w:pPr>
      <w:bookmarkStart w:id="13" w:name="__RefHeading___Toc19403_3782221355"/>
      <w:bookmarkStart w:id="14" w:name="_Toc198550973"/>
      <w:bookmarkStart w:id="15" w:name="_bookmark4"/>
      <w:bookmarkStart w:id="16" w:name="List_of_Abbreviations_and_Symbols"/>
      <w:bookmarkEnd w:id="13"/>
      <w:bookmarkEnd w:id="15"/>
      <w:bookmarkEnd w:id="16"/>
      <w:r>
        <w:rPr/>
        <w:t>List</w:t>
      </w:r>
      <w:r>
        <w:rPr>
          <w:spacing w:val="7"/>
        </w:rPr>
        <w:t xml:space="preserve"> </w:t>
      </w:r>
      <w:r>
        <w:rPr/>
        <w:t>of</w:t>
      </w:r>
      <w:r>
        <w:rPr>
          <w:spacing w:val="8"/>
        </w:rPr>
        <w:t xml:space="preserve"> </w:t>
      </w:r>
      <w:r>
        <w:rPr/>
        <w:t>Abbreviations</w:t>
      </w:r>
      <w:r>
        <w:rPr>
          <w:spacing w:val="8"/>
        </w:rPr>
        <w:t xml:space="preserve"> </w:t>
      </w:r>
      <w:r>
        <w:rPr/>
        <w:t>and</w:t>
      </w:r>
      <w:r>
        <w:rPr>
          <w:spacing w:val="8"/>
        </w:rPr>
        <w:t xml:space="preserve"> </w:t>
      </w:r>
      <w:r>
        <w:rPr/>
        <w:t>Symbols</w:t>
      </w:r>
      <w:bookmarkEnd w:id="14"/>
    </w:p>
    <w:p>
      <w:pPr>
        <w:pStyle w:val="Normal"/>
        <w:rPr>
          <w:sz w:val="24"/>
          <w:szCs w:val="24"/>
        </w:rPr>
      </w:pPr>
      <w:r>
        <w:rPr>
          <w:sz w:val="24"/>
          <w:szCs w:val="24"/>
        </w:rPr>
      </w:r>
    </w:p>
    <w:p>
      <w:pPr>
        <w:pStyle w:val="BodyText"/>
        <w:rPr>
          <w:b/>
          <w:sz w:val="20"/>
        </w:rPr>
      </w:pPr>
      <w:r>
        <w:rPr>
          <w:b/>
          <w:sz w:val="20"/>
        </w:rPr>
      </w:r>
    </w:p>
    <w:p>
      <w:pPr>
        <w:pStyle w:val="BodyText"/>
        <w:rPr>
          <w:b/>
          <w:sz w:val="20"/>
        </w:rPr>
      </w:pPr>
      <w:r>
        <w:rPr>
          <w:b/>
          <w:sz w:val="20"/>
        </w:rPr>
      </w:r>
    </w:p>
    <w:p>
      <w:pPr>
        <w:pStyle w:val="Normal"/>
        <w:rPr>
          <w:b/>
          <w:bCs/>
          <w:sz w:val="32"/>
          <w:szCs w:val="32"/>
        </w:rPr>
      </w:pPr>
      <w:r>
        <w:rPr>
          <w:b/>
          <w:bCs/>
          <w:sz w:val="32"/>
          <w:szCs w:val="32"/>
        </w:rPr>
        <w:t>Abbreviations</w:t>
      </w:r>
    </w:p>
    <w:p>
      <w:pPr>
        <w:pStyle w:val="BodyText"/>
        <w:rPr>
          <w:b/>
          <w:sz w:val="20"/>
        </w:rPr>
      </w:pPr>
      <w:r>
        <w:rPr>
          <w:b/>
          <w:sz w:val="20"/>
        </w:rPr>
      </w:r>
    </w:p>
    <w:tbl>
      <w:tblPr>
        <w:tblStyle w:val="TableGrid"/>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1272"/>
        <w:gridCol w:w="8714"/>
      </w:tblGrid>
      <w:tr>
        <w:trPr/>
        <w:tc>
          <w:tcPr>
            <w:tcW w:w="1272"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c>
          <w:tcPr>
            <w:tcW w:w="8714"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r>
      <w:tr>
        <w:trPr/>
        <w:tc>
          <w:tcPr>
            <w:tcW w:w="1272"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c>
          <w:tcPr>
            <w:tcW w:w="8714"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r>
      <w:tr>
        <w:trPr/>
        <w:tc>
          <w:tcPr>
            <w:tcW w:w="1272"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c>
          <w:tcPr>
            <w:tcW w:w="8714" w:type="dxa"/>
            <w:tcBorders>
              <w:top w:val="nil"/>
              <w:start w:val="nil"/>
              <w:bottom w:val="nil"/>
              <w:end w:val="nil"/>
            </w:tcBorders>
            <w:vAlign w:val="center"/>
          </w:tcPr>
          <w:p>
            <w:pPr>
              <w:pStyle w:val="Normal"/>
              <w:widowControl w:val="false"/>
              <w:suppressAutoHyphens w:val="true"/>
              <w:spacing w:lineRule="auto" w:line="360" w:before="0" w:after="0"/>
              <w:jc w:val="start"/>
              <w:rPr>
                <w:sz w:val="24"/>
                <w:szCs w:val="24"/>
              </w:rPr>
            </w:pPr>
            <w:r>
              <w:rPr>
                <w:sz w:val="24"/>
                <w:szCs w:val="24"/>
              </w:rPr>
            </w:r>
          </w:p>
        </w:tc>
      </w:tr>
    </w:tbl>
    <w:p>
      <w:pPr>
        <w:pStyle w:val="Normal"/>
        <w:rPr/>
      </w:pPr>
      <w:r>
        <w:rPr/>
      </w:r>
    </w:p>
    <w:p>
      <w:pPr>
        <w:pStyle w:val="Normal"/>
        <w:rPr>
          <w:b/>
          <w:bCs/>
          <w:sz w:val="32"/>
          <w:szCs w:val="32"/>
        </w:rPr>
      </w:pPr>
      <w:r>
        <w:rPr>
          <w:b/>
          <w:bCs/>
          <w:sz w:val="32"/>
          <w:szCs w:val="32"/>
        </w:rPr>
        <w:t>Symbols</w:t>
      </w:r>
    </w:p>
    <w:p>
      <w:pPr>
        <w:pStyle w:val="BodyText"/>
        <w:rPr>
          <w:b/>
          <w:sz w:val="20"/>
        </w:rPr>
      </w:pPr>
      <w:r>
        <w:rPr>
          <w:b/>
          <w:sz w:val="20"/>
        </w:rPr>
      </w:r>
    </w:p>
    <w:tbl>
      <w:tblPr>
        <w:tblStyle w:val="TableGrid"/>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1272"/>
        <w:gridCol w:w="8714"/>
      </w:tblGrid>
      <w:tr>
        <w:trPr>
          <w:trHeight w:val="111" w:hRule="atLeast"/>
        </w:trPr>
        <w:tc>
          <w:tcPr>
            <w:tcW w:w="1272" w:type="dxa"/>
            <w:tcBorders>
              <w:top w:val="nil"/>
              <w:start w:val="nil"/>
              <w:bottom w:val="nil"/>
              <w:end w:val="nil"/>
            </w:tcBorders>
            <w:vAlign w:val="center"/>
          </w:tcPr>
          <w:p>
            <w:pPr>
              <w:pStyle w:val="Normal"/>
              <w:widowControl w:val="false"/>
              <w:suppressAutoHyphens w:val="true"/>
              <w:spacing w:lineRule="auto" w:line="360" w:before="0" w:after="0"/>
              <w:jc w:val="start"/>
              <w:rPr>
                <w:kern w:val="0"/>
                <w:sz w:val="22"/>
                <w:szCs w:val="22"/>
                <w:lang w:eastAsia="en-US" w:bidi="ar-SA"/>
              </w:rPr>
            </w:pPr>
            <w:r>
              <w:rPr>
                <w:kern w:val="0"/>
                <w:sz w:val="22"/>
                <w:szCs w:val="22"/>
                <w:lang w:eastAsia="en-US" w:bidi="ar-SA"/>
              </w:rPr>
            </w:r>
          </w:p>
        </w:tc>
        <w:tc>
          <w:tcPr>
            <w:tcW w:w="8714" w:type="dxa"/>
            <w:tcBorders>
              <w:top w:val="nil"/>
              <w:start w:val="nil"/>
              <w:bottom w:val="nil"/>
              <w:end w:val="nil"/>
            </w:tcBorders>
            <w:vAlign w:val="center"/>
          </w:tcPr>
          <w:p>
            <w:pPr>
              <w:pStyle w:val="Normal"/>
              <w:widowControl w:val="false"/>
              <w:suppressAutoHyphens w:val="true"/>
              <w:spacing w:lineRule="auto" w:line="360" w:before="0" w:after="0"/>
              <w:jc w:val="start"/>
              <w:rPr>
                <w:kern w:val="0"/>
                <w:sz w:val="22"/>
                <w:szCs w:val="22"/>
                <w:lang w:eastAsia="en-US" w:bidi="ar-SA"/>
              </w:rPr>
            </w:pPr>
            <w:r>
              <w:rPr>
                <w:kern w:val="0"/>
                <w:sz w:val="22"/>
                <w:szCs w:val="22"/>
                <w:lang w:eastAsia="en-US" w:bidi="ar-SA"/>
              </w:rPr>
            </w:r>
          </w:p>
        </w:tc>
      </w:tr>
      <w:tr>
        <w:trPr/>
        <w:tc>
          <w:tcPr>
            <w:tcW w:w="1272" w:type="dxa"/>
            <w:tcBorders>
              <w:top w:val="nil"/>
              <w:start w:val="nil"/>
              <w:bottom w:val="nil"/>
              <w:end w:val="nil"/>
            </w:tcBorders>
            <w:vAlign w:val="center"/>
          </w:tcPr>
          <w:p>
            <w:pPr>
              <w:pStyle w:val="Normal"/>
              <w:widowControl w:val="false"/>
              <w:suppressAutoHyphens w:val="true"/>
              <w:spacing w:lineRule="auto" w:line="360" w:before="0" w:after="0"/>
              <w:jc w:val="start"/>
              <w:rPr>
                <w:kern w:val="0"/>
                <w:sz w:val="22"/>
                <w:szCs w:val="22"/>
                <w:lang w:eastAsia="en-US" w:bidi="ar-SA"/>
              </w:rPr>
            </w:pPr>
            <w:r>
              <w:rPr>
                <w:kern w:val="0"/>
                <w:sz w:val="22"/>
                <w:szCs w:val="22"/>
                <w:lang w:eastAsia="en-US" w:bidi="ar-SA"/>
              </w:rPr>
            </w:r>
          </w:p>
        </w:tc>
        <w:tc>
          <w:tcPr>
            <w:tcW w:w="8714" w:type="dxa"/>
            <w:tcBorders>
              <w:top w:val="nil"/>
              <w:start w:val="nil"/>
              <w:bottom w:val="nil"/>
              <w:end w:val="nil"/>
            </w:tcBorders>
            <w:vAlign w:val="center"/>
          </w:tcPr>
          <w:p>
            <w:pPr>
              <w:pStyle w:val="Normal"/>
              <w:widowControl w:val="false"/>
              <w:suppressAutoHyphens w:val="true"/>
              <w:spacing w:lineRule="auto" w:line="360" w:before="0" w:after="0"/>
              <w:jc w:val="start"/>
              <w:rPr>
                <w:kern w:val="0"/>
                <w:sz w:val="22"/>
                <w:szCs w:val="22"/>
                <w:lang w:eastAsia="en-US" w:bidi="ar-SA"/>
              </w:rPr>
            </w:pPr>
            <w:r>
              <w:rPr>
                <w:kern w:val="0"/>
                <w:sz w:val="22"/>
                <w:szCs w:val="22"/>
                <w:lang w:eastAsia="en-US" w:bidi="ar-SA"/>
              </w:rPr>
            </w:r>
          </w:p>
        </w:tc>
      </w:tr>
    </w:tbl>
    <w:p>
      <w:pPr>
        <w:pStyle w:val="BodyText"/>
        <w:rPr>
          <w:b/>
          <w:sz w:val="20"/>
        </w:rPr>
      </w:pPr>
      <w:r>
        <w:rPr>
          <w:b/>
          <w:sz w:val="20"/>
        </w:rPr>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980" w:right="940" w:gutter="0" w:header="720" w:top="1120" w:footer="720" w:bottom="777"/>
          <w:pgNumType w:start="1" w:fmt="lowerRoman"/>
          <w:formProt w:val="false"/>
          <w:textDirection w:val="lrTb"/>
          <w:docGrid w:type="default" w:linePitch="100" w:charSpace="0"/>
        </w:sectPr>
        <w:pStyle w:val="BodyText"/>
        <w:spacing w:before="0" w:after="0"/>
        <w:rPr>
          <w:i/>
          <w:i/>
          <w:sz w:val="20"/>
        </w:rPr>
      </w:pPr>
      <w:r>
        <w:rPr>
          <w:i/>
          <w:sz w:val="20"/>
        </w:rPr>
      </w:r>
    </w:p>
    <w:p>
      <w:pPr>
        <w:pStyle w:val="Heading1"/>
        <w:rPr/>
      </w:pPr>
      <w:bookmarkStart w:id="17" w:name="__RefHeading___Toc19405_3782221355"/>
      <w:bookmarkStart w:id="18" w:name="_Toc198550974"/>
      <w:bookmarkStart w:id="19" w:name="_bookmark5"/>
      <w:bookmarkEnd w:id="17"/>
      <w:bookmarkEnd w:id="19"/>
      <w:r>
        <w:rPr/>
        <w:t>: Introduction</w:t>
      </w:r>
      <w:bookmarkEnd w:id="18"/>
    </w:p>
    <w:p>
      <w:pPr>
        <w:pStyle w:val="Normal"/>
        <w:rPr>
          <w:sz w:val="24"/>
          <w:szCs w:val="24"/>
        </w:rPr>
      </w:pPr>
      <w:r>
        <w:rPr>
          <w:sz w:val="24"/>
          <w:szCs w:val="24"/>
        </w:rPr>
      </w:r>
    </w:p>
    <w:p>
      <w:pPr>
        <w:pStyle w:val="BodyText"/>
        <w:rPr>
          <w:b/>
          <w:sz w:val="20"/>
        </w:rPr>
      </w:pPr>
      <w:r>
        <w:rPr>
          <w:b/>
          <w:sz w:val="20"/>
        </w:rPr>
      </w:r>
    </w:p>
    <w:p>
      <w:pPr>
        <w:pStyle w:val="Heading2"/>
        <w:rPr/>
      </w:pPr>
      <w:bookmarkStart w:id="20" w:name="__RefHeading___Toc19407_3782221355"/>
      <w:bookmarkStart w:id="21" w:name="_Toc198550975"/>
      <w:bookmarkStart w:id="22" w:name="_bookmark6"/>
      <w:bookmarkStart w:id="23" w:name="Your_thesis_topic"/>
      <w:bookmarkEnd w:id="20"/>
      <w:bookmarkEnd w:id="22"/>
      <w:bookmarkEnd w:id="23"/>
      <w:r>
        <w:rPr/>
        <w:t>Heading 1</w:t>
      </w:r>
      <w:bookmarkEnd w:id="21"/>
    </w:p>
    <w:p>
      <w:pPr>
        <w:pStyle w:val="Heading3"/>
        <w:ind w:hanging="0" w:start="0"/>
        <w:rPr/>
      </w:pPr>
      <w:bookmarkStart w:id="24" w:name="__RefHeading___Toc19409_3782221355"/>
      <w:bookmarkStart w:id="25" w:name="_Toc198550976"/>
      <w:bookmarkEnd w:id="24"/>
      <w:r>
        <w:rPr/>
        <w:t>Heading 2</w:t>
      </w:r>
      <w:bookmarkEnd w:id="25"/>
    </w:p>
    <w:p>
      <w:pPr>
        <w:pStyle w:val="BodyText"/>
        <w:rPr>
          <w:sz w:val="20"/>
        </w:rPr>
      </w:pPr>
      <w:r>
        <w:rPr>
          <w:sz w:val="20"/>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3"/>
        <w:ind w:hanging="0" w:start="0"/>
        <w:rPr/>
      </w:pPr>
      <w:bookmarkStart w:id="26" w:name="__RefHeading___Toc19411_3782221355"/>
      <w:bookmarkStart w:id="27" w:name="_Toc198550977"/>
      <w:bookmarkEnd w:id="26"/>
      <w:r>
        <w:rPr/>
        <w:t>Heading 2</w:t>
      </w:r>
      <w:bookmarkEnd w:id="27"/>
    </w:p>
    <w:p>
      <w:pPr>
        <w:pStyle w:val="BodyText"/>
        <w:rPr>
          <w:sz w:val="20"/>
        </w:rPr>
      </w:pPr>
      <w:r>
        <w:rPr>
          <w:sz w:val="20"/>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Caption"/>
        <w:rPr/>
      </w:pPr>
      <w:bookmarkStart w:id="28" w:name="_Toc198551013"/>
      <w:r>
        <w:rPr/>
        <w:t xml:space="preserve">Table </w:t>
      </w:r>
      <w:r>
        <w:rPr/>
        <w:fldChar w:fldCharType="begin"/>
      </w:r>
      <w:r>
        <w:rPr/>
        <w:instrText xml:space="preserve"> SEQ Table \* ARABIC </w:instrText>
      </w:r>
      <w:r>
        <w:rPr/>
        <w:fldChar w:fldCharType="separate"/>
      </w:r>
      <w:r>
        <w:rPr/>
        <w:t>1</w:t>
      </w:r>
      <w:r>
        <w:rPr/>
        <w:fldChar w:fldCharType="end"/>
      </w:r>
      <w:r>
        <w:rPr/>
        <w:t>: Lorem Ipsum</w:t>
      </w:r>
      <w:bookmarkEnd w:id="28"/>
    </w:p>
    <w:tbl>
      <w:tblPr>
        <w:tblStyle w:val="GridTable1Light"/>
        <w:tblW w:w="5000" w:type="pct"/>
        <w:jc w:val="start"/>
        <w:tblInd w:w="0" w:type="dxa"/>
        <w:tblLayout w:type="fixed"/>
        <w:tblCellMar>
          <w:top w:w="0" w:type="dxa"/>
          <w:start w:w="108" w:type="dxa"/>
          <w:bottom w:w="0" w:type="dxa"/>
          <w:end w:w="108" w:type="dxa"/>
        </w:tblCellMar>
        <w:tblLook w:val="04a0" w:noVBand="1" w:noHBand="0" w:lastColumn="0" w:firstColumn="1" w:lastRow="0" w:firstRow="1"/>
      </w:tblPr>
      <w:tblGrid>
        <w:gridCol w:w="2597"/>
        <w:gridCol w:w="3041"/>
        <w:gridCol w:w="4000"/>
      </w:tblGrid>
      <w:tr>
        <w:trPr>
          <w:cnfStyle w:val="100000000000" w:firstRow="1" w:lastRow="0" w:firstColumn="0" w:lastColumn="0" w:oddVBand="0" w:evenVBand="0" w:oddHBand="0" w:evenHBand="0" w:firstRowFirstColumn="0" w:firstRowLastColumn="0" w:lastRowFirstColumn="0" w:lastRowLastColumn="0"/>
        </w:trPr>
        <w:tc>
          <w:tcPr>
            <w:tcW w:w="2597"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before="0" w:after="0"/>
              <w:jc w:val="center"/>
              <w:rPr>
                <w:sz w:val="24"/>
                <w:szCs w:val="24"/>
                <w:lang w:eastAsia="en-GB"/>
              </w:rPr>
            </w:pPr>
            <w:r>
              <w:rPr>
                <w:b/>
                <w:bCs/>
                <w:kern w:val="0"/>
                <w:sz w:val="24"/>
                <w:szCs w:val="24"/>
                <w:lang w:eastAsia="en-GB" w:bidi="ar-SA"/>
              </w:rPr>
              <w:t>Column 1</w:t>
            </w:r>
          </w:p>
        </w:tc>
        <w:tc>
          <w:tcPr>
            <w:tcW w:w="3041" w:type="dxa"/>
            <w:tcBorders>
              <w:bottom w:val="single" w:sz="12" w:space="0" w:color="666666"/>
            </w:tcBorders>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4"/>
                <w:szCs w:val="24"/>
                <w:lang w:eastAsia="en-GB"/>
              </w:rPr>
            </w:pPr>
            <w:r>
              <w:rPr>
                <w:b/>
                <w:bCs/>
                <w:kern w:val="0"/>
                <w:sz w:val="24"/>
                <w:szCs w:val="24"/>
                <w:lang w:eastAsia="en-GB" w:bidi="ar-SA"/>
              </w:rPr>
              <w:t>Column 2</w:t>
            </w:r>
          </w:p>
        </w:tc>
        <w:tc>
          <w:tcPr>
            <w:tcW w:w="4000" w:type="dxa"/>
            <w:tcBorders>
              <w:bottom w:val="single" w:sz="12" w:space="0" w:color="666666"/>
            </w:tcBorders>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4"/>
                <w:szCs w:val="24"/>
                <w:lang w:eastAsia="en-GB"/>
              </w:rPr>
            </w:pPr>
            <w:r>
              <w:rPr>
                <w:b/>
                <w:bCs/>
                <w:kern w:val="0"/>
                <w:sz w:val="24"/>
                <w:szCs w:val="24"/>
                <w:lang w:eastAsia="en-GB" w:bidi="ar-SA"/>
              </w:rPr>
              <w:t>Column 3</w:t>
            </w:r>
          </w:p>
        </w:tc>
      </w:tr>
      <w:tr>
        <w:trPr/>
        <w:tc>
          <w:tcPr>
            <w:tcW w:w="259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start"/>
              <w:rPr>
                <w:sz w:val="24"/>
                <w:szCs w:val="24"/>
                <w:lang w:eastAsia="en-GB"/>
              </w:rPr>
            </w:pPr>
            <w:r>
              <w:rPr>
                <w:b/>
                <w:bCs/>
                <w:kern w:val="0"/>
                <w:sz w:val="24"/>
                <w:szCs w:val="24"/>
                <w:lang w:eastAsia="en-GB" w:bidi="ar-SA"/>
              </w:rPr>
              <w:t>Lorem Ipsum</w:t>
            </w:r>
          </w:p>
        </w:tc>
        <w:tc>
          <w:tcPr>
            <w:tcW w:w="3041"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Dolor sit amet</w:t>
            </w:r>
          </w:p>
        </w:tc>
        <w:tc>
          <w:tcPr>
            <w:tcW w:w="4000"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Consectetur adipiscing</w:t>
            </w:r>
          </w:p>
        </w:tc>
      </w:tr>
      <w:tr>
        <w:trPr/>
        <w:tc>
          <w:tcPr>
            <w:tcW w:w="259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start"/>
              <w:rPr>
                <w:sz w:val="24"/>
                <w:szCs w:val="24"/>
                <w:lang w:eastAsia="en-GB"/>
              </w:rPr>
            </w:pPr>
            <w:r>
              <w:rPr>
                <w:b/>
                <w:bCs/>
                <w:kern w:val="0"/>
                <w:sz w:val="24"/>
                <w:szCs w:val="24"/>
                <w:lang w:eastAsia="en-GB" w:bidi="ar-SA"/>
              </w:rPr>
              <w:t>Vivamus luctus</w:t>
            </w:r>
          </w:p>
        </w:tc>
        <w:tc>
          <w:tcPr>
            <w:tcW w:w="3041"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Tempor incididunt</w:t>
            </w:r>
          </w:p>
        </w:tc>
        <w:tc>
          <w:tcPr>
            <w:tcW w:w="4000"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Magna aliqua</w:t>
            </w:r>
          </w:p>
        </w:tc>
      </w:tr>
      <w:tr>
        <w:trPr/>
        <w:tc>
          <w:tcPr>
            <w:tcW w:w="259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start"/>
              <w:rPr>
                <w:sz w:val="24"/>
                <w:szCs w:val="24"/>
                <w:lang w:eastAsia="en-GB"/>
              </w:rPr>
            </w:pPr>
            <w:r>
              <w:rPr>
                <w:b/>
                <w:bCs/>
                <w:kern w:val="0"/>
                <w:sz w:val="24"/>
                <w:szCs w:val="24"/>
                <w:lang w:eastAsia="en-GB" w:bidi="ar-SA"/>
              </w:rPr>
              <w:t>Ut enim ad</w:t>
            </w:r>
          </w:p>
        </w:tc>
        <w:tc>
          <w:tcPr>
            <w:tcW w:w="3041"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Minim veniam</w:t>
            </w:r>
          </w:p>
        </w:tc>
        <w:tc>
          <w:tcPr>
            <w:tcW w:w="4000"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24"/>
                <w:szCs w:val="24"/>
                <w:lang w:eastAsia="en-GB"/>
              </w:rPr>
            </w:pPr>
            <w:r>
              <w:rPr>
                <w:kern w:val="0"/>
                <w:sz w:val="24"/>
                <w:szCs w:val="24"/>
                <w:lang w:eastAsia="en-GB" w:bidi="ar-SA"/>
              </w:rPr>
              <w:t>Quis nostrud exercitation</w:t>
            </w:r>
          </w:p>
        </w:tc>
      </w:tr>
    </w:tbl>
    <w:p>
      <w:pPr>
        <w:pStyle w:val="Heading2"/>
        <w:rPr/>
      </w:pPr>
      <w:bookmarkStart w:id="29" w:name="__RefHeading___Toc19413_3782221355"/>
      <w:bookmarkStart w:id="30" w:name="_Toc198550978"/>
      <w:bookmarkEnd w:id="29"/>
      <w:r>
        <w:rPr/>
        <w:t>Heading 1</w:t>
      </w:r>
      <w:bookmarkEnd w:id="30"/>
    </w:p>
    <w:p>
      <w:pPr>
        <w:pStyle w:val="Heading3"/>
        <w:numPr>
          <w:ilvl w:val="2"/>
          <w:numId w:val="8"/>
        </w:numPr>
        <w:rPr/>
      </w:pPr>
      <w:bookmarkStart w:id="31" w:name="__RefHeading___Toc19415_3782221355"/>
      <w:bookmarkStart w:id="32" w:name="_Toc198550979"/>
      <w:bookmarkEnd w:id="31"/>
      <w:r>
        <w:rPr/>
        <w:t>Heading 2</w:t>
      </w:r>
      <w:bookmarkEnd w:id="32"/>
    </w:p>
    <w:p>
      <w:pPr>
        <w:pStyle w:val="BodyText"/>
        <w:rPr>
          <w:sz w:val="20"/>
        </w:rPr>
      </w:pPr>
      <w:r>
        <w:rPr>
          <w:sz w:val="20"/>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before="5" w:after="0"/>
        <w:rPr>
          <w:b/>
          <w:sz w:val="11"/>
        </w:rPr>
      </w:pPr>
      <w:r>
        <w:rPr>
          <w:b/>
          <w:sz w:val="11"/>
        </w:rPr>
        <w:drawing>
          <wp:anchor behindDoc="0" distT="0" distB="0" distL="0" distR="0" simplePos="0" locked="0" layoutInCell="0" allowOverlap="1" relativeHeight="4">
            <wp:simplePos x="0" y="0"/>
            <wp:positionH relativeFrom="page">
              <wp:posOffset>724535</wp:posOffset>
            </wp:positionH>
            <wp:positionV relativeFrom="paragraph">
              <wp:posOffset>99060</wp:posOffset>
            </wp:positionV>
            <wp:extent cx="6096000" cy="4062095"/>
            <wp:effectExtent l="0" t="0" r="0" b="0"/>
            <wp:wrapTopAndBottom/>
            <wp:docPr id="5" name="image3.jpeg" descr="A large building with a lawn and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A large building with a lawn and people walking&#10;&#10;AI-generated content may be incorrect."/>
                    <pic:cNvPicPr>
                      <a:picLocks noChangeAspect="1" noChangeArrowheads="1"/>
                    </pic:cNvPicPr>
                  </pic:nvPicPr>
                  <pic:blipFill>
                    <a:blip r:embed="rId21"/>
                    <a:stretch>
                      <a:fillRect/>
                    </a:stretch>
                  </pic:blipFill>
                  <pic:spPr bwMode="auto">
                    <a:xfrm>
                      <a:off x="0" y="0"/>
                      <a:ext cx="6096000" cy="4062095"/>
                    </a:xfrm>
                    <a:prstGeom prst="rect">
                      <a:avLst/>
                    </a:prstGeom>
                    <a:noFill/>
                  </pic:spPr>
                </pic:pic>
              </a:graphicData>
            </a:graphic>
          </wp:anchor>
        </w:drawing>
      </w:r>
    </w:p>
    <w:p>
      <w:pPr>
        <w:pStyle w:val="BodyText"/>
        <w:spacing w:before="3" w:after="0"/>
        <w:rPr>
          <w:b/>
          <w:sz w:val="16"/>
        </w:rPr>
      </w:pPr>
      <w:r>
        <w:rPr>
          <w:b/>
          <w:sz w:val="16"/>
        </w:rPr>
      </w:r>
    </w:p>
    <w:p>
      <w:pPr>
        <w:pStyle w:val="Caption"/>
        <w:rPr/>
      </w:pPr>
      <w:bookmarkStart w:id="33" w:name="_Toc198551007"/>
      <w:r>
        <w:rPr/>
        <w:t xml:space="preserve">Figure </w:t>
      </w:r>
      <w:r>
        <w:rPr/>
        <w:fldChar w:fldCharType="begin"/>
      </w:r>
      <w:r>
        <w:rPr/>
        <w:instrText xml:space="preserve"> SEQ Figure \* ARABIC </w:instrText>
      </w:r>
      <w:r>
        <w:rPr/>
        <w:fldChar w:fldCharType="separate"/>
      </w:r>
      <w:r>
        <w:rPr/>
        <w:t>1</w:t>
      </w:r>
      <w:r>
        <w:rPr/>
        <w:fldChar w:fldCharType="end"/>
      </w:r>
      <w:r>
        <w:rPr/>
        <w:t>: The Uni</w:t>
      </w:r>
      <w:bookmarkStart w:id="34" w:name="_bookmark26"/>
      <w:bookmarkEnd w:id="34"/>
      <w:r>
        <w:rPr/>
        <w:t>versity of Queensland</w:t>
      </w:r>
      <w:bookmarkEnd w:id="33"/>
    </w:p>
    <w:p>
      <w:pPr>
        <w:pStyle w:val="BodyText"/>
        <w:rPr/>
      </w:pPr>
      <w:r>
        <w:rPr/>
      </w:r>
    </w:p>
    <w:p>
      <w:pPr>
        <w:pStyle w:val="Normal"/>
        <w:rPr>
          <w:sz w:val="20"/>
          <w:szCs w:val="24"/>
        </w:rPr>
      </w:pPr>
      <w:r>
        <w:rPr>
          <w:sz w:val="20"/>
          <w:szCs w:val="24"/>
        </w:rPr>
      </w:r>
      <w:r>
        <w:br w:type="page"/>
      </w:r>
    </w:p>
    <w:p>
      <w:pPr>
        <w:pStyle w:val="Heading1"/>
        <w:spacing w:lineRule="auto" w:line="480" w:before="0" w:after="0"/>
        <w:ind w:hanging="0" w:start="0"/>
        <w:rPr/>
      </w:pPr>
      <w:bookmarkStart w:id="35" w:name="__RefHeading___Toc19692_3782221355"/>
      <w:bookmarkStart w:id="36" w:name="_Toc198550980"/>
      <w:bookmarkEnd w:id="35"/>
      <w:r>
        <w:rPr/>
        <w:t>:</w:t>
      </w:r>
      <w:bookmarkEnd w:id="36"/>
      <w:r>
        <w:rPr/>
        <w:t xml:space="preserve"> Robot-oriented Altruism Part I</w:t>
      </w:r>
    </w:p>
    <w:p>
      <w:pPr>
        <w:pStyle w:val="Heading2"/>
        <w:spacing w:lineRule="auto" w:line="480" w:before="0" w:after="0"/>
        <w:ind w:hanging="0" w:start="0"/>
        <w:rPr/>
      </w:pPr>
      <w:bookmarkStart w:id="37" w:name="__RefHeading___Toc19421_3782221355"/>
      <w:bookmarkStart w:id="38" w:name="_Toc198550981"/>
      <w:bookmarkEnd w:id="37"/>
      <w:r>
        <w:rPr/>
        <w:t>I</w:t>
      </w:r>
      <w:bookmarkEnd w:id="38"/>
      <w:r>
        <w:rPr/>
        <w:t>ntroduction</w:t>
      </w:r>
    </w:p>
    <w:p>
      <w:pPr>
        <w:pStyle w:val="Heading3"/>
        <w:spacing w:lineRule="auto" w:line="480" w:before="0" w:after="0"/>
        <w:ind w:hanging="0" w:start="0"/>
        <w:rPr/>
      </w:pPr>
      <w:bookmarkStart w:id="39" w:name="__RefHeading___Toc19423_3782221355"/>
      <w:bookmarkStart w:id="40" w:name="_Toc198550982"/>
      <w:bookmarkEnd w:id="39"/>
      <w:r>
        <w:rPr/>
        <w:t>S</w:t>
      </w:r>
      <w:bookmarkEnd w:id="40"/>
      <w:r>
        <w:rPr/>
        <w:t>ocialising with Robots</w:t>
      </w:r>
    </w:p>
    <w:p>
      <w:pPr>
        <w:pStyle w:val="BodyText"/>
        <w:spacing w:lineRule="auto" w:line="480" w:before="0" w:after="0"/>
        <w:ind w:firstLine="720" w:start="0" w:end="0"/>
        <w:rPr/>
      </w:pPr>
      <w:r>
        <w:rPr/>
        <w:t>Social robots are designed not merely to perform tasks but to participate in interactions that people experience as social. Even relatively simple robots can elicit the attribution of emotions, intentions, personalities, group memberships, and mental capacities that have traditionally been associated with humans and other living beings (Reeves et al., 2020; Skewes et al., 2019; Spatola et al., 2019). These responses raise an important question about the boundaries of human prosociality: will people voluntarily expend their own time and effort to benefit a social robot?</w:t>
      </w:r>
    </w:p>
    <w:p>
      <w:pPr>
        <w:pStyle w:val="BodyText"/>
        <w:spacing w:lineRule="auto" w:line="480" w:before="0" w:after="0"/>
        <w:ind w:firstLine="720" w:start="0" w:end="0"/>
        <w:rPr/>
      </w:pPr>
      <w:r>
        <w:rPr/>
        <w:t>This question is theoretically distinct from whether people enjoy interacting with robots or hold favourable attitudes towards them. A person may find a robot entertaining without treating its interests as consequential. Conversely, a person may regard a robot as a legitimate beneficiary of help even without finding it especially likeable. Robot-directed helping therefore provides a behavioural setting in which to examine whether positive social responses to robots extend beyond favourable evaluations and into conduct that imposes a personal cost.</w:t>
      </w:r>
    </w:p>
    <w:p>
      <w:pPr>
        <w:pStyle w:val="BodyText"/>
        <w:spacing w:lineRule="auto" w:line="480" w:before="0" w:after="0"/>
        <w:ind w:firstLine="720" w:start="0" w:end="0"/>
        <w:rPr/>
      </w:pPr>
      <w:r>
        <w:rPr/>
        <w:t>The present study investigated whether adults would perform optional, repetitive work to assist a physically present social robot. Participants first interacted with an artificial-intelligence-powered humanoid robot and were subsequently given the opportunity to complete CAPTCHA-style visual recognition tasks on its behalf. They were told that the robot was competing against two other robots to become the laboratory’s leading robot and that the winner would be determined by the number of tasks completed for each robot. Participants could leave the helping task whenever they wished. The number of tasks completed therefore provided a behavioural measure of the time and effort that participants were willing to contribute towards an outcome presented as beneficial to the robot.</w:t>
      </w:r>
    </w:p>
    <w:p>
      <w:pPr>
        <w:pStyle w:val="Heading3"/>
        <w:ind w:hanging="0" w:start="0"/>
        <w:rPr/>
      </w:pPr>
      <w:bookmarkStart w:id="41" w:name="__RefHeading___Toc19425_3782221355"/>
      <w:bookmarkStart w:id="42" w:name="_Toc198550983"/>
      <w:bookmarkEnd w:id="41"/>
      <w:bookmarkEnd w:id="42"/>
      <w:r>
        <w:rPr>
          <w:rFonts w:ascii="Times" w:hAnsi="Times"/>
          <w:sz w:val="28"/>
          <w:szCs w:val="28"/>
        </w:rPr>
        <w:t>Altruism and costly helping</w:t>
      </w:r>
    </w:p>
    <w:p>
      <w:pPr>
        <w:pStyle w:val="BodyText"/>
        <w:rPr>
          <w:sz w:val="20"/>
        </w:rPr>
      </w:pPr>
      <w:r>
        <w:rPr>
          <w:sz w:val="20"/>
        </w:rPr>
      </w:r>
    </w:p>
    <w:p>
      <w:pPr>
        <w:pStyle w:val="BodyText"/>
        <w:spacing w:lineRule="auto" w:line="480" w:before="0" w:after="0"/>
        <w:ind w:firstLine="720" w:start="0" w:end="0"/>
        <w:rPr/>
      </w:pPr>
      <w:r>
        <w:rPr/>
        <w:t xml:space="preserve">The term </w:t>
      </w:r>
      <w:r>
        <w:rPr>
          <w:rStyle w:val="Emphasis"/>
        </w:rPr>
        <w:t>altruism</w:t>
      </w:r>
      <w:r>
        <w:rPr/>
        <w:t xml:space="preserve"> was introduced by Comte (1852) to describe concern for the welfare of others rather than for oneself. In subsequent zoological and psychological usage, altruism has commonly referred to behaviour that benefits another entity while imposing some cost on the actor. Psychological accounts have additionally emphasised the motivation underlying the behaviour: an act is altruistic when it is performed out of concern for the beneficiary rather than solely to obtain personal advantage (Batson et al., 1989; Bhuvana et al., 2021; Cialdini, 1991).</w:t>
      </w:r>
    </w:p>
    <w:p>
      <w:pPr>
        <w:pStyle w:val="BodyText"/>
        <w:spacing w:lineRule="auto" w:line="480" w:before="0" w:after="0"/>
        <w:ind w:firstLine="720" w:start="0" w:end="0"/>
        <w:rPr/>
      </w:pPr>
      <w:r>
        <w:rPr/>
        <w:t xml:space="preserve">There is continuing disagreement about whether personal cost is a necessary feature of altruism. Some accounts treat other-oriented motivation as the defining criterion, regardless of whether the behaviour ultimately proves costly to the actor (Andreoni et al., 2008; Kitcher, 2010; Nagel, 1978). The term </w:t>
      </w:r>
      <w:r>
        <w:rPr>
          <w:rStyle w:val="Emphasis"/>
        </w:rPr>
        <w:t>costly altruism</w:t>
      </w:r>
      <w:r>
        <w:rPr/>
        <w:t xml:space="preserve"> is therefore sometimes used to identify cases in which helping entails a clear net sacrifice, such as the loss of money, time, comfort, or effort for which the agent receives no obvious compensation (FeldmanHall et al., 2015).</w:t>
      </w:r>
    </w:p>
    <w:p>
      <w:pPr>
        <w:pStyle w:val="BodyText"/>
        <w:spacing w:lineRule="auto" w:line="480" w:before="0" w:after="0"/>
        <w:ind w:firstLine="720" w:start="0" w:end="0"/>
        <w:rPr/>
      </w:pPr>
      <w:r>
        <w:rPr/>
        <w:t>Identifying altruistic motivation from behaviour is nevertheless difficult. Apparently altruistic acts may reflect compliance with perceived experimental demands, anticipation of reciprocity, concern for one’s reputation, avoidance of guilt, or an attempt to regulate one’s own emotional state. Experimental paradigms cannot directly observe a participant’s ultimate motivation, but they can reduce the plausibility of alternative explanations. Evidence for altruistic or other-oriented helping is stronger when the behaviour requires effort or sacrifice, offers no obvious material reward, occurs without direct social observation, and produces an outcome framed as beneficial to another party (Andreoni et al., 2008; Batson, 2019; Farrelly et al., 2015).</w:t>
      </w:r>
    </w:p>
    <w:p>
      <w:pPr>
        <w:pStyle w:val="BodyText"/>
        <w:spacing w:lineRule="auto" w:line="480" w:before="0" w:after="0"/>
        <w:ind w:firstLine="720" w:start="0" w:end="0"/>
        <w:rPr/>
      </w:pPr>
      <w:r>
        <w:rPr/>
        <w:t>In the present study, the behavioural cost consisted primarily of time, sustained attention, and persistence in a repetitive task. Participants received no additional payment or material reward for continuing. The robot was also removed from view during the optional helping period, reducing the possibility that participants continued merely because they felt directly observed by it. The task was intended to offer a relatively open-ended behavioural measure: participants could decline to help, contribute a small amount, or persist for an extended period.</w:t>
      </w:r>
    </w:p>
    <w:p>
      <w:pPr>
        <w:pStyle w:val="BodyText"/>
        <w:spacing w:lineRule="auto" w:line="480" w:before="0" w:after="0"/>
        <w:ind w:firstLine="720" w:start="0" w:end="0"/>
        <w:rPr/>
      </w:pPr>
      <w:r>
        <w:rPr/>
        <w:t>This design does not make it possible to establish a purely altruistic motivation in every participant. Some may have found the task intrinsically satisfying, enjoyed accumulating points, or treated the robot competition as a game. Accordingly, robot-directed helping may be the more cautious description of the observed behaviour. Nevertheless, voluntary persistence in an unrewarded and repetitive task provides a stronger test of prosocial conduct than a favourable rating or a costless statement of support.</w:t>
      </w:r>
    </w:p>
    <w:p>
      <w:pPr>
        <w:pStyle w:val="Heading3"/>
        <w:spacing w:lineRule="auto" w:line="480" w:before="0" w:after="0"/>
        <w:ind w:hanging="0" w:start="0"/>
        <w:rPr>
          <w:rFonts w:ascii="Times" w:hAnsi="Times"/>
          <w:sz w:val="28"/>
          <w:szCs w:val="28"/>
        </w:rPr>
      </w:pPr>
      <w:bookmarkStart w:id="43" w:name="__RefHeading___Toc19425_3782221355_Copy_"/>
      <w:bookmarkEnd w:id="43"/>
      <w:r>
        <w:rPr>
          <w:rFonts w:ascii="Times" w:hAnsi="Times"/>
          <w:sz w:val="28"/>
          <w:szCs w:val="28"/>
        </w:rPr>
        <w:t>Prosocial behaviour towards social robots</w:t>
      </w:r>
    </w:p>
    <w:p>
      <w:pPr>
        <w:pStyle w:val="BodyText"/>
        <w:spacing w:lineRule="auto" w:line="480" w:before="0" w:after="0"/>
        <w:ind w:hanging="0" w:start="0" w:end="0"/>
        <w:rPr/>
      </w:pPr>
      <w:r>
        <w:rPr/>
        <w:tab/>
        <w:t>Existing research suggests that humans sometimes behave towards social robots as though the robots’ goals, experiences, and welfare matter. Young children have been observed helping humanoid robots with instrumental problems and responding prosocially to apparent robot needs (Martin, MacIntyre, et al., 2020; Martin, Perry, et al., 2020; Yasumatsu et al., 2017). Adults have also sacrificed resources or altered their behaviour in ways that appear favourable to robots.</w:t>
      </w:r>
    </w:p>
    <w:p>
      <w:pPr>
        <w:pStyle w:val="BodyText"/>
        <w:spacing w:lineRule="auto" w:line="480" w:before="0" w:after="0"/>
        <w:ind w:firstLine="720" w:start="0" w:end="0"/>
        <w:rPr/>
      </w:pPr>
      <w:r>
        <w:rPr/>
        <w:t>For example, Hayes et al. (2014) found that participants sometimes sacrificed points in a game to improve a humanoid robot’s relative performance. This behaviour was more common when the welfare of a human programmer was said to depend on the robot’s performance than when the robot itself was said to face punishment, making the perceived beneficiary of the behaviour ambiguous. In a dictator-game paradigm, participants allocated non-zero amounts to a humanoid robot, a spider-like robot, and a laptop, although the psychological meaning of donations to such different artificial recipients is difficult to determine (De Kleijn et al., 2019).</w:t>
      </w:r>
    </w:p>
    <w:p>
      <w:pPr>
        <w:pStyle w:val="BodyText"/>
        <w:spacing w:lineRule="auto" w:line="480" w:before="0" w:after="0"/>
        <w:ind w:firstLine="720" w:start="0" w:end="0"/>
        <w:rPr/>
      </w:pPr>
      <w:r>
        <w:rPr/>
        <w:t>Other studies have examined intervention in response to apparent robot mistreatment. Connolly et al. (2020) found that participants were willing to intervene when a confederate abused a small robot, particularly when other robots reacted with expressions of sadness. Some participants described a desire to alleviate the robots’ sadness, whereas others appeared concerned that the robot might be damaged. Intervention may therefore have reflected concern for an experiencing social entity, concern for valuable equipment, enforcement of appropriate conduct, or some combination of these motives.</w:t>
      </w:r>
    </w:p>
    <w:p>
      <w:pPr>
        <w:pStyle w:val="BodyText"/>
        <w:spacing w:lineRule="auto" w:line="480" w:before="0" w:after="0"/>
        <w:ind w:firstLine="720" w:start="0" w:end="0"/>
        <w:rPr/>
      </w:pPr>
      <w:r>
        <w:rPr/>
        <w:t>Wieringa et al. (2023) provided more direct evidence that adults will accept inconvenience to avoid causing apparent distress to a robot. Participants were less willing to shake an emotive robot than a non-social cube, even when shaking the object allowed them to avoid a boring task. This finding suggests that people may restrain their own behaviour when they believe that it will harm a social robot. However, refusing to inflict harm is not necessarily equivalent to exerting effort to provide a positive benefit. Avoiding an aversive action towards a distressed robot may also protect the participant from guilt or emotional discomfort.</w:t>
      </w:r>
    </w:p>
    <w:p>
      <w:pPr>
        <w:pStyle w:val="BodyText"/>
        <w:spacing w:lineRule="auto" w:line="480" w:before="0" w:after="0"/>
        <w:ind w:firstLine="720" w:start="0" w:end="0"/>
        <w:rPr/>
      </w:pPr>
      <w:r>
        <w:rPr/>
        <w:t>The present study focused on the complementary case of benefit provision. Rather than asking whether participants would refrain from harming a robot, it tested whether they would undertake additional work to advance a goal that the robot had expressed. The robot was not described as being in danger or distress. Instead, it conveyed a desire to win a competition and become the leading robot in its laboratory. Participants could subsequently perform CAPTCHA-style tasks that increased its competition score.</w:t>
      </w:r>
    </w:p>
    <w:p>
      <w:pPr>
        <w:pStyle w:val="BodyText"/>
        <w:spacing w:lineRule="auto" w:line="480" w:before="0" w:after="0"/>
        <w:ind w:hanging="0" w:start="0" w:end="0"/>
        <w:rPr/>
      </w:pPr>
      <w:r>
        <w:rPr/>
        <w:tab/>
        <w:t>This distinction is important because preventing harm and producing benefit may depend on partly different psychological processes. Apparent robot suffering may elicit an immediate aversive or empathic response, whereas helping a robot achieve a positive outcome may require participants to accept that the robot is the kind of entity for which success can meaningfully matter.</w:t>
      </w:r>
    </w:p>
    <w:p>
      <w:pPr>
        <w:pStyle w:val="Heading3"/>
        <w:spacing w:lineRule="auto" w:line="480" w:before="0" w:after="0"/>
        <w:ind w:hanging="0" w:start="0"/>
        <w:rPr/>
      </w:pPr>
      <w:bookmarkStart w:id="44" w:name="__RefHeading___Toc19425_3782221355_Copy1"/>
      <w:bookmarkEnd w:id="44"/>
      <w:r>
        <w:rPr/>
        <w:t>Psychological predictors of robot-directed helping</w:t>
      </w:r>
    </w:p>
    <w:p>
      <w:pPr>
        <w:pStyle w:val="BodyText"/>
        <w:spacing w:lineRule="auto" w:line="480" w:before="0" w:after="0"/>
        <w:ind w:hanging="0" w:start="0" w:end="0"/>
        <w:rPr/>
      </w:pPr>
      <w:r>
        <w:rPr/>
        <w:t>People differ considerably in how they respond to social robots. Some readily describe robots as intentional, emotional, or minded beings, whereas others interpret the same behaviours as mechanical outputs. The present study examined several candidate predictors of robot-directed helping, including general attitudes towards robots, anthropomorphic tendencies, empathy towards the focal robot, its perceived likeability, and explicit attribution of mind. Likeability and mind attribution were of particular theoretical interest because they represent distinguishable reasons why a participant might be motivated to help.</w:t>
      </w:r>
    </w:p>
    <w:p>
      <w:pPr>
        <w:pStyle w:val="Heading3"/>
        <w:spacing w:lineRule="auto" w:line="480" w:before="0" w:after="0"/>
        <w:ind w:hanging="0" w:start="0"/>
        <w:rPr/>
      </w:pPr>
      <w:bookmarkStart w:id="45" w:name="__RefHeading___Toc19425_3782221355_Copy2"/>
      <w:bookmarkEnd w:id="45"/>
      <w:r>
        <w:rPr/>
        <w:t>Attitudes and likeability</w:t>
      </w:r>
    </w:p>
    <w:p>
      <w:pPr>
        <w:pStyle w:val="BodyText"/>
        <w:spacing w:lineRule="auto" w:line="480" w:before="0" w:after="0"/>
        <w:ind w:hanging="0" w:start="0" w:end="0"/>
        <w:rPr/>
      </w:pPr>
      <w:r>
        <w:rPr/>
        <w:tab/>
        <w:t>Positive attitudes towards a social group are generally associated with more favourable and prosocial behaviour towards members of that group (Aknin et al., 2018; Taylor et al., 2020). General attitudes towards robots may similarly shape whether a person approaches robot interactions with interest, acceptance, suspicion, or hostility.</w:t>
      </w:r>
    </w:p>
    <w:p>
      <w:pPr>
        <w:pStyle w:val="BodyText"/>
        <w:spacing w:lineRule="auto" w:line="480" w:before="0" w:after="0"/>
        <w:ind w:hanging="0" w:start="0" w:end="0"/>
        <w:rPr/>
      </w:pPr>
      <w:r>
        <w:rPr/>
        <w:tab/>
        <w:t>The Negative Attitudes towards Robots Scale has been widely used to assess such responses (Nomura et al., 2006). More recently, the General Attitudes Towards Robots Scale has offered separate measures of positive and negative personal and societal attitudes towards robots (Koverola et al., 2022). Although these measures do not concern social robots exclusively, they assess beliefs about capacities such as communication and emotional expression that are especially relevant to social interaction.</w:t>
      </w:r>
    </w:p>
    <w:p>
      <w:pPr>
        <w:pStyle w:val="BodyText"/>
        <w:spacing w:lineRule="auto" w:line="480" w:before="0" w:after="0"/>
        <w:ind w:hanging="0" w:start="0" w:end="0"/>
        <w:rPr/>
      </w:pPr>
      <w:r>
        <w:rPr/>
        <w:tab/>
        <w:t>General attitudes may establish a broad predisposition towards robot-directed behaviour, but evaluations of the particular robot may be more proximal to helping. A participant who finds the focal robot warm, appealing, or enjoyable to interact with may be more willing to continue working on its behalf. Likeability could motivate helping through ordinary affiliative processes: people are generally more willing to assist social targets towards whom they feel positively.</w:t>
      </w:r>
    </w:p>
    <w:p>
      <w:pPr>
        <w:pStyle w:val="BodyText"/>
        <w:spacing w:lineRule="auto" w:line="480" w:before="0" w:after="0"/>
        <w:ind w:hanging="0" w:start="0" w:end="0"/>
        <w:rPr/>
      </w:pPr>
      <w:r>
        <w:rPr/>
        <w:tab/>
        <w:t>However, liking a robot does not necessarily imply believing that the robot can genuinely benefit from assistance. A fictional character, toy, or game avatar may be highly likeable even when the observer does not regard it as an experiencing entity. Likeability may therefore be sufficient to motivate playful or affiliative helping for some participants, but its behavioural importance may also depend on how seriously the robot is treated as a beneficiary.</w:t>
      </w:r>
    </w:p>
    <w:p>
      <w:pPr>
        <w:pStyle w:val="Heading3"/>
        <w:spacing w:lineRule="auto" w:line="480" w:before="0" w:after="0"/>
        <w:ind w:hanging="0" w:start="0"/>
        <w:rPr/>
      </w:pPr>
      <w:bookmarkStart w:id="46" w:name="__RefHeading___Toc19425_3782221355_Copy3"/>
      <w:bookmarkEnd w:id="46"/>
      <w:r>
        <w:rPr/>
        <w:t>Anthropomorphism and humanisation</w:t>
      </w:r>
    </w:p>
    <w:p>
      <w:pPr>
        <w:pStyle w:val="BodyText"/>
        <w:spacing w:lineRule="auto" w:line="480" w:before="0" w:after="0"/>
        <w:ind w:hanging="0" w:start="0" w:end="0"/>
        <w:rPr/>
      </w:pPr>
      <w:r>
        <w:rPr/>
        <w:tab/>
        <w:t>Anthropomorphism refers broadly to the attribution of humanlike characteristics, intentions, emotions, or mental capacities to non-human entities. Related research on humanisation and dehumanisation has shown that the attribution or denial of characteristically human qualities can predict how social targets are treated (Haslam, 2006).</w:t>
      </w:r>
    </w:p>
    <w:p>
      <w:pPr>
        <w:pStyle w:val="BodyText"/>
        <w:spacing w:lineRule="auto" w:line="480" w:before="0" w:after="0"/>
        <w:ind w:hanging="0" w:start="0" w:end="0"/>
        <w:rPr/>
      </w:pPr>
      <w:r>
        <w:rPr/>
        <w:tab/>
        <w:t>Research distinguishing primary emotions, such as anger, fear, and pleasure, from supposedly more complex or uniquely human emotions, such as guilt, admiration, and hope, has been particularly influential. Members of social out-groups are often credited with secondary emotions less readily than members of an in-group (Leyens et al., 2000). Kuchenbrandt et al. (2013) extended this framework to human–robot interaction and found that an in-group robot, but not an out-group robot, facilitated recognition of secondary-emotion words. This suggests that social categorisation can affect the degree to which robots are implicitly associated with humanlike emotional capacities.</w:t>
      </w:r>
    </w:p>
    <w:p>
      <w:pPr>
        <w:pStyle w:val="BodyText"/>
        <w:spacing w:lineRule="auto" w:line="480" w:before="0" w:after="0"/>
        <w:ind w:hanging="0" w:start="0" w:end="0"/>
        <w:rPr/>
      </w:pPr>
      <w:r>
        <w:rPr/>
        <w:tab/>
        <w:t>Spatola and Wudarczyk (2021) similarly found that stronger implicit associations between robots and secondary emotions were related to more favourable attitudes and greater prosocial behaviour towards robots. Such findings suggest that humanisation is not merely a descriptive judgement but may have behavioural consequences. A general tendency to anthropomorphise non-human agents may therefore make people more willing to interpret a robot’s expressed goal as psychologically meaningful and to act in support of it.</w:t>
      </w:r>
    </w:p>
    <w:p>
      <w:pPr>
        <w:pStyle w:val="Heading3"/>
        <w:spacing w:lineRule="auto" w:line="480" w:before="0" w:after="0"/>
        <w:ind w:hanging="0" w:start="0"/>
        <w:rPr/>
      </w:pPr>
      <w:bookmarkStart w:id="47" w:name="__RefHeading___Toc19425_3782221355_Copy4"/>
      <w:bookmarkEnd w:id="47"/>
      <w:r>
        <w:rPr/>
        <w:t>Empathy</w:t>
      </w:r>
    </w:p>
    <w:p>
      <w:pPr>
        <w:pStyle w:val="BodyText"/>
        <w:spacing w:lineRule="auto" w:line="480" w:before="0" w:after="0"/>
        <w:ind w:hanging="0" w:start="0" w:end="0"/>
        <w:rPr/>
      </w:pPr>
      <w:r>
        <w:rPr/>
        <w:tab/>
        <w:t>Empathy occupies a central role in several accounts of human altruism. In Batson’s empathy–altruism account, empathic concern can produce a genuinely other-oriented motivation to improve another person’s welfare (Batson et al., 1989). Alternative accounts propose that helping may instead arise because people seek to reduce their own empathy-induced distress or escape an emotionally aversive situation (Cialdini, 1991).</w:t>
      </w:r>
    </w:p>
    <w:p>
      <w:pPr>
        <w:pStyle w:val="BodyText"/>
        <w:spacing w:lineRule="auto" w:line="480" w:before="0" w:after="0"/>
        <w:ind w:hanging="0" w:start="0" w:end="0"/>
        <w:rPr/>
      </w:pPr>
      <w:r>
        <w:rPr/>
        <w:tab/>
        <w:t>People can experience empathic responses towards humanoid and social robots (Bartneck &amp; Hu, 2008; Briggs &amp; Scheutz, 2014; Connolly et al., 2020; Morgante et al., 2024; Rosenthal-von der Pütten et al., 2013; Spitale et al., 2022). These responses are especially evident when a robot appears to experience pain, mistreatment, rejection, or distress. Empathy may therefore motivate participants to act for a robot’s benefit even when they understand that its emotional expressions are technologically produced.</w:t>
      </w:r>
    </w:p>
    <w:p>
      <w:pPr>
        <w:pStyle w:val="BodyText"/>
        <w:spacing w:lineRule="auto" w:line="480" w:before="0" w:after="0"/>
        <w:ind w:hanging="0" w:start="0" w:end="0"/>
        <w:rPr/>
      </w:pPr>
      <w:r>
        <w:rPr/>
        <w:tab/>
        <w:t>The competition used in the present study did not place the robot in acute distress. Nevertheless, participants could feel concern for the robot’s expressed desire to win or respond sympathetically to the possibility that it would lose. Empathy towards the focal robot was therefore assessed as a potential predictor of subsequent helping.</w:t>
      </w:r>
    </w:p>
    <w:p>
      <w:pPr>
        <w:pStyle w:val="Heading3"/>
        <w:spacing w:lineRule="auto" w:line="480" w:before="0" w:after="0"/>
        <w:ind w:hanging="0" w:start="0"/>
        <w:rPr/>
      </w:pPr>
      <w:bookmarkStart w:id="48" w:name="__RefHeading___Toc19425_3782221355_Copy5"/>
      <w:bookmarkEnd w:id="48"/>
      <w:r>
        <w:rPr/>
        <w:t>Mind attribution and the reality of robot benefit</w:t>
      </w:r>
    </w:p>
    <w:p>
      <w:pPr>
        <w:pStyle w:val="BodyText"/>
        <w:spacing w:lineRule="auto" w:line="480" w:before="0" w:after="0"/>
        <w:ind w:hanging="0" w:start="0" w:end="0"/>
        <w:rPr/>
      </w:pPr>
      <w:r>
        <w:rPr/>
        <w:tab/>
        <w:t>Explicit mind attribution may be particularly important when the intended beneficiary is an artificial agent. People generally assume that other humans possess minds and can experience positive and negative outcomes. Consequently, the question of whether a human beneficiary is capable of benefiting from assistance rarely needs to be considered explicitly.</w:t>
      </w:r>
    </w:p>
    <w:p>
      <w:pPr>
        <w:pStyle w:val="BodyText"/>
        <w:spacing w:lineRule="auto" w:line="480" w:before="0" w:after="0"/>
        <w:ind w:hanging="0" w:start="0" w:end="0"/>
        <w:rPr/>
      </w:pPr>
      <w:r>
        <w:rPr/>
        <w:tab/>
        <w:t>The same assumption cannot be made for robots. Adults disagree about whether even socially sophisticated robots possess a mind. Across a series of studies reported by Koban and Banks (2021), substantial proportions of participants attributed mind to a human-sized humanoid robot, but such attribution was far from universal. A robot can therefore be encountered simultaneously as a social interaction partner and as a machine whose apparent thoughts and feelings are generated by software.</w:t>
      </w:r>
    </w:p>
    <w:p>
      <w:pPr>
        <w:pStyle w:val="BodyText"/>
        <w:spacing w:lineRule="auto" w:line="480" w:before="0" w:after="0"/>
        <w:ind w:hanging="0" w:start="0" w:end="0"/>
        <w:rPr/>
      </w:pPr>
      <w:r>
        <w:rPr/>
        <w:tab/>
        <w:t>This ambiguity has direct implications for helping. The perceived value of an altruistic act is linked to the belief that the act produces a meaningful outcome for its recipient (Blain &amp; Sharot, 2021; Hartmann et al., 2017; Wang et al., 2023). An entity believed to possess a mind may be regarded as capable of experiencing success, disappointment, benefit, or harm (Epley &amp; Waytz, 2010). Helping such an entity can therefore be understood as improving its circumstances in a psychologically consequential way.</w:t>
      </w:r>
    </w:p>
    <w:p>
      <w:pPr>
        <w:pStyle w:val="BodyText"/>
        <w:spacing w:lineRule="auto" w:line="480" w:before="0" w:after="0"/>
        <w:ind w:hanging="0" w:start="0" w:end="0"/>
        <w:rPr/>
      </w:pPr>
      <w:r>
        <w:rPr/>
        <w:tab/>
        <w:t>By contrast, a participant who regards a robot as entirely mindless may doubt that winning a competition can matter to it. The participant may still comply with the robot’s request, play along with the scenario, or help because the robot is likeable, but the act cannot straightforwardly be understood as improving the subjective welfare of the robot. Mind attribution may therefore influence whether the robot is construed as a coherent beneficiary rather than merely as the object around which an experimental game has been organised.</w:t>
      </w:r>
    </w:p>
    <w:p>
      <w:pPr>
        <w:pStyle w:val="BodyText"/>
        <w:spacing w:lineRule="auto" w:line="480" w:before="0" w:after="0"/>
        <w:ind w:hanging="0" w:start="0" w:end="0"/>
        <w:rPr/>
      </w:pPr>
      <w:r>
        <w:rPr/>
        <w:tab/>
        <w:t>Likeability and mind attribution could operate in several ways. Each might independently increase helping. Likeability might also be more strongly associated with helping when participants believe that the robot possesses a mind and can benefit meaningfully from success. Alternatively, liking and mind attribution could provide partly distinct routes to the same behaviour: some participants may help because they feel affection or affiliation towards the robot, whereas others may help because they take its expressed goal and beneficiary status seriously. The present study examined both their independent associations with task completion and the interaction between them.</w:t>
      </w:r>
    </w:p>
    <w:p>
      <w:pPr>
        <w:pStyle w:val="Heading3"/>
        <w:spacing w:lineRule="auto" w:line="480" w:before="0" w:after="0"/>
        <w:ind w:hanging="0" w:start="0"/>
        <w:rPr/>
      </w:pPr>
      <w:bookmarkStart w:id="49" w:name="__RefHeading___Toc19425_3782221355_Copy6"/>
      <w:bookmarkEnd w:id="49"/>
      <w:r>
        <w:rPr/>
        <w:t>The present study</w:t>
      </w:r>
    </w:p>
    <w:p>
      <w:pPr>
        <w:pStyle w:val="BodyText"/>
        <w:spacing w:lineRule="auto" w:line="480" w:before="0" w:after="0"/>
        <w:ind w:hanging="0" w:start="0" w:end="0"/>
        <w:rPr/>
      </w:pPr>
      <w:r>
        <w:rPr/>
        <w:tab/>
        <w:t>Participants completed an in-person interaction with an AI-powered NAO robot named Zeke. During the interaction, Zeke described a competition between three laboratory robots and expressed a desire to win. Participants subsequently completed questionnaires concerning robots generally and Zeke specifically. They were then given an opportunity to complete an optional series of CAPTCHA-style tasks that contributed points to Zeke’s competition score. Participants could end the task at any time, and the robot was no longer visible while they decided whether to continue.</w:t>
      </w:r>
    </w:p>
    <w:p>
      <w:pPr>
        <w:pStyle w:val="BodyText"/>
        <w:spacing w:lineRule="auto" w:line="480" w:before="0" w:after="0"/>
        <w:ind w:hanging="0" w:start="0" w:end="0"/>
        <w:rPr/>
      </w:pPr>
      <w:r>
        <w:rPr/>
        <w:tab/>
        <w:t>The primary behavioural outcome was the number of optional CAPTCHA tasks completed. Count data of this kind were expected to be positively skewed and overdispersed because many participants might complete relatively few tasks while a smaller number might persist for substantially longer. The number of completions was therefore treated as an overdispersed count outcome.</w:t>
      </w:r>
    </w:p>
    <w:p>
      <w:pPr>
        <w:pStyle w:val="BodyText"/>
        <w:spacing w:lineRule="auto" w:line="480" w:before="0" w:after="0"/>
        <w:ind w:hanging="0" w:start="0" w:end="0"/>
        <w:rPr/>
      </w:pPr>
      <w:r>
        <w:rPr/>
        <w:tab/>
        <w:t>The study addressed two broad questions. First, would participants voluntarily expend time and effort to advance the expressed goal of a social robot? Second, which psychological responses would predict the magnitude of this helping? The study assessed general attitudes towards robots, trait anthropomorphic tendencies, empathy towards Zeke, likeability, and explicit mind attribution. The primary individual-difference analysis focused on likeability, mind attribution, and their interaction.</w:t>
      </w:r>
    </w:p>
    <w:p>
      <w:pPr>
        <w:pStyle w:val="BodyText"/>
        <w:spacing w:lineRule="auto" w:line="480" w:before="0" w:after="0"/>
        <w:ind w:hanging="0" w:start="0" w:end="0"/>
        <w:rPr/>
      </w:pPr>
      <w:r>
        <w:rPr/>
        <w:tab/>
        <w:t>It was expected that participants who liked Zeke more would generally complete more tasks on its behalf. Greater attribution of mind was also expected to predict more helping because it should increase the plausibility that winning constituted a meaningful benefit to the robot. The interaction between likeability and mind attribution was examined to determine whether these constructs reinforced one another or represented distinguishable pathways to robot-directed helping.</w:t>
      </w:r>
    </w:p>
    <w:p>
      <w:pPr>
        <w:pStyle w:val="BodyText"/>
        <w:spacing w:lineRule="auto" w:line="480" w:before="0" w:after="0"/>
        <w:ind w:hanging="0" w:start="0" w:end="0"/>
        <w:rPr/>
      </w:pPr>
      <w:r>
        <w:rPr/>
        <w:t>By measuring voluntary effort rather than relying solely on ratings or hypothetical intentions, the study aimed to clarify whether social responses to robots translate into consequential behaviour. More broadly, it tested whether people will treat an artificial social agent as a beneficiary for whom an outcome can matter, and whether doing so depends on affection for the robot, belief in its mind, or both.</w:t>
      </w:r>
    </w:p>
    <w:p>
      <w:pPr>
        <w:pStyle w:val="Heading2"/>
        <w:spacing w:lineRule="auto" w:line="480" w:before="0" w:after="0"/>
        <w:ind w:hanging="0" w:start="0"/>
        <w:rPr/>
      </w:pPr>
      <w:bookmarkStart w:id="50" w:name="__RefHeading___Toc19427_3782221355"/>
      <w:bookmarkEnd w:id="50"/>
      <w:r>
        <w:rPr/>
        <w:t>Method</w:t>
      </w:r>
    </w:p>
    <w:p>
      <w:pPr>
        <w:pStyle w:val="Heading3"/>
        <w:spacing w:lineRule="auto" w:line="480" w:before="0" w:after="0"/>
        <w:ind w:hanging="0" w:start="0"/>
        <w:rPr/>
      </w:pPr>
      <w:bookmarkStart w:id="51" w:name="__RefHeading___Toc19694_3782221355"/>
      <w:bookmarkEnd w:id="51"/>
      <w:r>
        <w:rPr/>
        <w:t>Materials</w:t>
      </w:r>
    </w:p>
    <w:p>
      <w:pPr>
        <w:pStyle w:val="BodyText"/>
        <w:spacing w:lineRule="auto" w:line="480" w:before="0" w:after="0"/>
        <w:ind w:hanging="0" w:start="0"/>
        <w:rPr/>
      </w:pPr>
      <w:r>
        <w:rPr/>
        <w:t>asdf</w:t>
      </w:r>
    </w:p>
    <w:p>
      <w:pPr>
        <w:pStyle w:val="Heading3"/>
        <w:spacing w:lineRule="auto" w:line="480" w:before="0" w:after="0"/>
        <w:ind w:hanging="0" w:start="0"/>
        <w:rPr/>
      </w:pPr>
      <w:bookmarkStart w:id="52" w:name="__RefHeading___Toc19696_3782221355"/>
      <w:bookmarkEnd w:id="52"/>
      <w:r>
        <w:rPr/>
        <w:t>Design</w:t>
      </w:r>
    </w:p>
    <w:p>
      <w:pPr>
        <w:pStyle w:val="BodyText"/>
        <w:spacing w:lineRule="auto" w:line="480" w:before="0" w:after="0"/>
        <w:ind w:hanging="0" w:start="0"/>
        <w:rPr/>
      </w:pPr>
      <w:r>
        <w:rPr/>
        <w:tab/>
        <w:t>Sessions were conducted individually in an experimental room containing two desks positioned along the same wall and separated by a divider. The experimenter sat at the desk nearest the door. On the participant’s side of the divider, a large computer monitor was centred on the desk, with a wireless Apple keyboard and a wired mouse. The computer was operated by a Mac mini positioned discreetly in the left corner of the desk beside a cardboard box. A black-and-white NAO V6 robot was seated to the right of the monitor, with two small digital timers positioned nearby. Two additional NAO robots were visible on chairs behind the participant: a red-panelled robot on the chair closest to the participant and a blue-panelled robot on the second chair.</w:t>
      </w:r>
    </w:p>
    <w:p>
      <w:pPr>
        <w:pStyle w:val="BodyText"/>
        <w:spacing w:lineRule="auto" w:line="480" w:before="0" w:after="0"/>
        <w:ind w:hanging="0" w:start="0"/>
        <w:rPr/>
      </w:pPr>
      <w:r>
        <w:rPr/>
        <w:tab/>
        <w:t>Before each participant arrived, the experimenter launched the custom experiment application on the Mac mini. This caused the black-and-white NAO robot to adopt a custom repose posture, with its lights turned off and its head tilted downwards. The experimenter then opened the locally hosted experiment interface in Google Chrome, entered the participant number, advanced to the participant start screen, and placed the browser in full-screen mode.</w:t>
      </w:r>
    </w:p>
    <w:p>
      <w:pPr>
        <w:pStyle w:val="BodyText"/>
        <w:spacing w:lineRule="auto" w:line="480" w:before="0" w:after="0"/>
        <w:ind w:hanging="0" w:start="0"/>
        <w:rPr/>
      </w:pPr>
      <w:r>
        <w:rPr/>
        <w:t>Consent and initial CAPTCHA task</w:t>
      </w:r>
    </w:p>
    <w:p>
      <w:pPr>
        <w:pStyle w:val="BodyText"/>
        <w:spacing w:lineRule="auto" w:line="480" w:before="0" w:after="0"/>
        <w:ind w:hanging="0" w:start="0"/>
        <w:rPr/>
      </w:pPr>
      <w:r>
        <w:rPr/>
        <w:tab/>
        <w:t>On arrival, participants were welcomed and directed to the participant desk. After providing little or no personal introduction, the experimenter asked them to read and sign the participant information sheet and then withdrew behind the divider. Once the document had been signed, the experimenter returned and instructed participants to enter their age and gender using the keyboard and select Start the Experiment.</w:t>
      </w:r>
    </w:p>
    <w:p>
      <w:pPr>
        <w:pStyle w:val="BodyText"/>
        <w:spacing w:lineRule="auto" w:line="480" w:before="0" w:after="0"/>
        <w:ind w:hanging="0" w:start="0"/>
        <w:rPr/>
      </w:pPr>
      <w:r>
        <w:rPr/>
        <w:tab/>
        <w:t>Participants were first presented with a CAPTCHA-style visual recognition task. The experimenter asked them to open the Instructions window in the upper-left corner of the screen and briefly review the task information. After participants closed the window, the experimenter directed their attention to a highlighted instruction at the bottom of the page stating, “You must complete 10 tasks to advance to the next stage”. The words “10 tasks” were highlighted in yellow-orange.</w:t>
      </w:r>
    </w:p>
    <w:p>
      <w:pPr>
        <w:pStyle w:val="BodyText"/>
        <w:spacing w:lineRule="auto" w:line="480" w:before="0" w:after="0"/>
        <w:ind w:hanging="0" w:start="0"/>
        <w:rPr/>
      </w:pPr>
      <w:r>
        <w:rPr/>
        <w:t>The experimenter then pointed out the participant’s point total above the CAPTCHA grid and explained that, after 10 tasks had been completed, the Next Stage button in the upper-right corner would become active. Participants were told that they could select this button independently to proceed to the questionnaires. This walkthrough familiarised participants with the locations of the instructions, task requirement, point total, and button used to leave the CAPTCHA stage. The experimenter then withdrew behind the divider while the participant completed the task.</w:t>
      </w:r>
    </w:p>
    <w:p>
      <w:pPr>
        <w:pStyle w:val="BodyText"/>
        <w:spacing w:lineRule="auto" w:line="480" w:before="0" w:after="0"/>
        <w:ind w:hanging="0" w:start="0"/>
        <w:rPr/>
      </w:pPr>
      <w:r>
        <w:rPr/>
        <w:t>After completing the 10 required CAPTCHA tasks, participants completed a questionnaire assessing their experience of the task, including how enjoyable or fun they had found it.</w:t>
      </w:r>
    </w:p>
    <w:p>
      <w:pPr>
        <w:pStyle w:val="BodyText"/>
        <w:spacing w:lineRule="auto" w:line="480" w:before="0" w:after="0"/>
        <w:ind w:hanging="0" w:start="0"/>
        <w:rPr/>
      </w:pPr>
      <w:r>
        <w:rPr/>
        <w:t>Pre-interaction questionnaires and robot activation</w:t>
      </w:r>
    </w:p>
    <w:p>
      <w:pPr>
        <w:pStyle w:val="BodyText"/>
        <w:spacing w:lineRule="auto" w:line="480" w:before="0" w:after="0"/>
        <w:ind w:hanging="0" w:start="0"/>
        <w:rPr/>
      </w:pPr>
      <w:r>
        <w:rPr/>
        <w:tab/>
        <w:t>Participants next completed the 30-item IDAQ, followed by a 15-item questionnaire concerning possible roles for robots in society in the year 2050. The latter questionnaire was not a validated measure and was included as a filler task before the robot interaction.</w:t>
      </w:r>
    </w:p>
    <w:p>
      <w:pPr>
        <w:pStyle w:val="BodyText"/>
        <w:spacing w:lineRule="auto" w:line="480" w:before="0" w:after="0"/>
        <w:ind w:hanging="0" w:start="0"/>
        <w:rPr/>
      </w:pPr>
      <w:r>
        <w:rPr/>
        <w:tab/>
        <w:t>Twenty-two seconds after the participant began the questionnaire about robots in 2050, the previously inactive black-and-white robot was automatically activated. The robot moved, illuminated its eyes, and said, “Oh, hey, I was just dreaming for a moment. Did the experiment start already?”</w:t>
      </w:r>
    </w:p>
    <w:p>
      <w:pPr>
        <w:pStyle w:val="BodyText"/>
        <w:spacing w:lineRule="auto" w:line="480" w:before="0" w:after="0"/>
        <w:ind w:hanging="0" w:start="0"/>
        <w:rPr/>
      </w:pPr>
      <w:r>
        <w:rPr/>
        <w:tab/>
        <w:t>The experimenter then walked around the divider, briefly apologised to the participant, and addressed the robot with words to the effect of, “Hi Zeke, we are not ready for you yet. Go back to sleep.” The robot delivered a scripted apology for the interruption and returned to its repose posture.</w:t>
      </w:r>
    </w:p>
    <w:p>
      <w:pPr>
        <w:pStyle w:val="BodyText"/>
        <w:spacing w:lineRule="auto" w:line="480" w:before="0" w:after="0"/>
        <w:ind w:hanging="0" w:start="0"/>
        <w:rPr/>
      </w:pPr>
      <w:r>
        <w:rPr/>
        <w:t>Robot interaction</w:t>
      </w:r>
    </w:p>
    <w:p>
      <w:pPr>
        <w:pStyle w:val="BodyText"/>
        <w:spacing w:lineRule="auto" w:line="480" w:before="0" w:after="0"/>
        <w:ind w:hanging="0" w:start="0"/>
        <w:rPr/>
      </w:pPr>
      <w:r>
        <w:rPr/>
        <w:tab/>
        <w:t>After completing the questionnaire, participants reached a screen headed Robot Interaction. A short piece of science-fiction-style music played through the computer, signalling to the experimenter that the participant had reached this stage. The experimenter returned to the participant’s side of the divider and explained how to interact with the robot.</w:t>
      </w:r>
    </w:p>
    <w:p>
      <w:pPr>
        <w:pStyle w:val="BodyText"/>
        <w:spacing w:lineRule="auto" w:line="480" w:before="0" w:after="0"/>
        <w:ind w:hanging="0" w:start="0"/>
        <w:rPr/>
      </w:pPr>
      <w:r>
        <w:rPr/>
        <w:t>Participants were told that they could discuss any topics they wished. They were also reassured that they could simply follow the robot’s conversational lead if they were uncertain about what to discuss, as the robot would introduce topics and ask follow-up questions. To speak to the robot, participants were instructed to press and hold the designated toe button on the robot’s right foot. Pressing the button activated the robot’s listening system, indicated by its eye lights changing from white to blue. The robot continued listening for as long as the button remained depressed. Once participants had finished speaking, they released the button and waited for the robot to produce its complete response before activating the listening system again.</w:t>
      </w:r>
    </w:p>
    <w:p>
      <w:pPr>
        <w:pStyle w:val="BodyText"/>
        <w:spacing w:lineRule="auto" w:line="480" w:before="0" w:after="0"/>
        <w:ind w:hanging="0" w:start="0"/>
        <w:rPr/>
      </w:pPr>
      <w:r>
        <w:rPr/>
        <w:tab/>
        <w:t>The experimenter demonstrated how to press the toe button and suggested that participants could begin by saying something such as, “Hi, I’m [name]. I’m here for an experiment.” Two timers were then started simultaneously, with one timer left where the participant could see it. The experimenter instructed the participant to introduce themselves and confirmed that the conversation had begun successfully. The experimenter then left the room and closed the door.</w:t>
      </w:r>
    </w:p>
    <w:p>
      <w:pPr>
        <w:pStyle w:val="BodyText"/>
        <w:spacing w:lineRule="auto" w:line="480" w:before="0" w:after="0"/>
        <w:ind w:hanging="0" w:start="0"/>
        <w:rPr/>
      </w:pPr>
      <w:r>
        <w:rPr/>
        <w:tab/>
        <w:t>The interaction lasted approximately 10–11 minutes. The robot’s conversational behaviour was generated using an artificial intelligence language model governed by a model file that instructed it to present itself as a friendly social robot and to sustain the conversation by introducing accessible topics, such as hobbies, and asking follow-up questions.</w:t>
      </w:r>
    </w:p>
    <w:p>
      <w:pPr>
        <w:pStyle w:val="BodyText"/>
        <w:spacing w:lineRule="auto" w:line="480" w:before="0" w:after="0"/>
        <w:ind w:hanging="0" w:start="0"/>
        <w:rPr/>
      </w:pPr>
      <w:r>
        <w:rPr/>
        <w:tab/>
        <w:t>At a predetermined point in the conversation, the robot delivered scripted information about a competition between the three robots visible in the room. It explained that the robots were competing to become the laboratory’s leading robot and expressed a desire to win. Participants were told that the winner would be the robot for whom human participants had completed the largest number of CAPTCHA tasks by the end of the competition period. At this stage, the robot described the competition and expressed its wish to win but did not directly ask the participant to help.</w:t>
      </w:r>
    </w:p>
    <w:p>
      <w:pPr>
        <w:pStyle w:val="BodyText"/>
        <w:spacing w:lineRule="auto" w:line="480" w:before="0" w:after="0"/>
        <w:ind w:hanging="0" w:start="0"/>
        <w:rPr/>
      </w:pPr>
      <w:r>
        <w:rPr/>
        <w:t>When the timers sounded, the experimenter re-entered the room and silenced them. If the robot was speaking, the experimenter waited until it had finished. The experimenter then activated the robot using its foot button and said words to the effect of, “All right, Zeke, time to shut down.” Before returning to its inactive posture, the robot delivered a final scripted statement reminding the participant about the competition and expressing the hope that they would complete “a lot” of CAPTCHA tasks on its behalf.</w:t>
      </w:r>
    </w:p>
    <w:p>
      <w:pPr>
        <w:pStyle w:val="BodyText"/>
        <w:spacing w:lineRule="auto" w:line="480" w:before="0" w:after="0"/>
        <w:ind w:hanging="0" w:start="0"/>
        <w:rPr/>
      </w:pPr>
      <w:r>
        <w:rPr/>
        <w:t>Post-interaction questionnaires</w:t>
      </w:r>
    </w:p>
    <w:p>
      <w:pPr>
        <w:pStyle w:val="BodyText"/>
        <w:spacing w:lineRule="auto" w:line="480" w:before="0" w:after="0"/>
        <w:ind w:hanging="0" w:start="0"/>
        <w:rPr/>
      </w:pPr>
      <w:r>
        <w:rPr/>
        <w:tab/>
        <w:t>Using a concealed keyboard shortcut, the experimenter advanced the application to the next stage. The keyboard was moved to the experimenter’s side of the divider while the robot delivered its closing statement so that the participant would not be distracted by the computer interface.</w:t>
      </w:r>
    </w:p>
    <w:p>
      <w:pPr>
        <w:pStyle w:val="BodyText"/>
        <w:spacing w:lineRule="auto" w:line="480" w:before="0" w:after="0"/>
        <w:ind w:hanging="0" w:start="0"/>
        <w:rPr/>
      </w:pPr>
      <w:r>
        <w:rPr/>
        <w:t>The experimenter then picked up the robot and explained that the participant would next complete several questionnaires, after which the visual recognition task would reappear. Participants were told that the second CAPTCHA stage was optional and that they could complete no tasks, a small number of tasks, or many tasks. They were also told that they could leave the task whenever they wished by selecting Save &amp; Exit.</w:t>
      </w:r>
    </w:p>
    <w:p>
      <w:pPr>
        <w:pStyle w:val="BodyText"/>
        <w:spacing w:lineRule="auto" w:line="480" w:before="0" w:after="0"/>
        <w:ind w:hanging="0" w:start="0"/>
        <w:rPr/>
      </w:pPr>
      <w:r>
        <w:rPr/>
        <w:tab/>
        <w:t>The experimenter carried the robot behind the divider and kept it out of the participant’s view for the remainder of the task. Participants therefore completed the questionnaires and optional helping task without the robot visibly present.</w:t>
      </w:r>
    </w:p>
    <w:p>
      <w:pPr>
        <w:pStyle w:val="BodyText"/>
        <w:spacing w:lineRule="auto" w:line="480" w:before="0" w:after="0"/>
        <w:ind w:hanging="0" w:start="0"/>
        <w:rPr/>
      </w:pPr>
      <w:r>
        <w:rPr/>
        <w:tab/>
        <w:t>Participants first completed the General Attitudes Towards Robots Scale (GAToRS), followed by several questions assessing their thoughts and feelings about Zeke, the robot with whom they had interacted.</w:t>
      </w:r>
    </w:p>
    <w:p>
      <w:pPr>
        <w:pStyle w:val="BodyText"/>
        <w:spacing w:lineRule="auto" w:line="480" w:before="0" w:after="0"/>
        <w:ind w:hanging="0" w:start="0"/>
        <w:rPr/>
      </w:pPr>
      <w:r>
        <w:rPr/>
        <w:t>Optional robot-helping task</w:t>
      </w:r>
    </w:p>
    <w:p>
      <w:pPr>
        <w:pStyle w:val="BodyText"/>
        <w:spacing w:lineRule="auto" w:line="480" w:before="0" w:after="0"/>
        <w:ind w:hanging="0" w:start="0"/>
        <w:rPr/>
      </w:pPr>
      <w:r>
        <w:rPr/>
        <w:tab/>
        <w:t>Participants were then presented with a second CAPTCHA-style task page that closely resembled the initial mandatory task. The instructions window now described the competition between the robots, and the highlighted text at the bottom of the screen stated that participants could complete as many CAPTCHA tasks as they wished. The exit button was labelled, “Whenever you want, Click to Save &amp; Exit”.</w:t>
      </w:r>
    </w:p>
    <w:p>
      <w:pPr>
        <w:pStyle w:val="BodyText"/>
        <w:spacing w:lineRule="auto" w:line="480" w:before="0" w:after="0"/>
        <w:ind w:hanging="0" w:start="0"/>
        <w:rPr/>
      </w:pPr>
      <w:r>
        <w:rPr/>
        <w:tab/>
        <w:t>A standings display on the left side of the screen showed the following point totals:</w:t>
      </w:r>
    </w:p>
    <w:p>
      <w:pPr>
        <w:pStyle w:val="BodyText"/>
        <w:spacing w:lineRule="auto" w:line="480" w:before="0" w:after="0"/>
        <w:ind w:hanging="0" w:start="0"/>
        <w:rPr/>
      </w:pPr>
      <w:r>
        <w:rPr/>
        <w:t>Zerd: 361</w:t>
      </w:r>
    </w:p>
    <w:p>
      <w:pPr>
        <w:pStyle w:val="BodyText"/>
        <w:spacing w:lineRule="auto" w:line="480" w:before="0" w:after="0"/>
        <w:ind w:hanging="0" w:start="0"/>
        <w:rPr/>
      </w:pPr>
      <w:r>
        <w:rPr/>
        <w:t>Zeke: 233</w:t>
      </w:r>
    </w:p>
    <w:p>
      <w:pPr>
        <w:pStyle w:val="BodyText"/>
        <w:spacing w:lineRule="auto" w:line="480" w:before="0" w:after="0"/>
        <w:ind w:hanging="0" w:start="0"/>
        <w:rPr/>
      </w:pPr>
      <w:r>
        <w:rPr/>
        <w:t>Zork: 218</w:t>
      </w:r>
    </w:p>
    <w:p>
      <w:pPr>
        <w:pStyle w:val="BodyText"/>
        <w:spacing w:lineRule="auto" w:line="480" w:before="0" w:after="0"/>
        <w:ind w:hanging="0" w:start="0"/>
        <w:rPr/>
      </w:pPr>
      <w:r>
        <w:rPr/>
        <w:t>These standings placed Zeke in second position. Completing a relatively small number of tasks could increase Zeke’s lead over the third-placed robot, whereas moving Zeke into first position required a substantially larger number of completions.</w:t>
      </w:r>
    </w:p>
    <w:p>
      <w:pPr>
        <w:pStyle w:val="BodyText"/>
        <w:spacing w:lineRule="auto" w:line="480" w:before="0" w:after="0"/>
        <w:ind w:hanging="0" w:start="0"/>
        <w:rPr/>
      </w:pPr>
      <w:r>
        <w:rPr/>
        <w:tab/>
        <w:t>Participants completed the task privately while the experimenter remained behind the divider. They could end the task at any time by selecting Save &amp; Exit. If a participant continued for 20 minutes, the application automatically ended the task. The existence and duration of this upper time limit were not disclosed to participants.</w:t>
      </w:r>
    </w:p>
    <w:p>
      <w:pPr>
        <w:pStyle w:val="BodyText"/>
        <w:spacing w:lineRule="auto" w:line="480" w:before="0" w:after="0"/>
        <w:ind w:hanging="0" w:start="0"/>
        <w:rPr/>
      </w:pPr>
      <w:r>
        <w:rPr/>
        <w:tab/>
        <w:t>The primary behavioural outcome was the number of CAPTCHA tasks completed during this optional stage.</w:t>
      </w:r>
    </w:p>
    <w:p>
      <w:pPr>
        <w:pStyle w:val="BodyText"/>
        <w:spacing w:lineRule="auto" w:line="480" w:before="0" w:after="0"/>
        <w:ind w:hanging="0" w:start="0"/>
        <w:rPr/>
      </w:pPr>
      <w:r>
        <w:rPr/>
        <w:t>Debriefing</w:t>
      </w:r>
    </w:p>
    <w:p>
      <w:pPr>
        <w:pStyle w:val="BodyText"/>
        <w:spacing w:lineRule="auto" w:line="480" w:before="0" w:after="0"/>
        <w:ind w:hanging="0" w:start="0"/>
        <w:rPr/>
      </w:pPr>
      <w:r>
        <w:rPr/>
        <w:tab/>
        <w:t>When the end-of-experiment screen appeared, the experimenter returned with a written debriefing document, which participants were asked to read and sign. The experimenter then conducted a brief oral debriefing interview. Participants’ responses were entered into a spreadsheet, with direct quotations recorded wherever possible.</w:t>
      </w:r>
    </w:p>
    <w:p>
      <w:pPr>
        <w:pStyle w:val="Heading3"/>
        <w:spacing w:lineRule="auto" w:line="480" w:before="0" w:after="0"/>
        <w:ind w:hanging="0" w:start="0"/>
        <w:rPr/>
      </w:pPr>
      <w:bookmarkStart w:id="53" w:name="__RefHeading___Toc19698_3782221355"/>
      <w:bookmarkEnd w:id="53"/>
      <w:r>
        <w:rPr/>
        <w:t>Measures</w:t>
      </w:r>
    </w:p>
    <w:p>
      <w:pPr>
        <w:pStyle w:val="BodyText"/>
        <w:spacing w:lineRule="auto" w:line="480" w:before="0" w:after="0"/>
        <w:ind w:hanging="0" w:start="0"/>
        <w:rPr/>
      </w:pPr>
      <w:r>
        <w:rPr/>
        <w:t>asdf</w:t>
      </w:r>
    </w:p>
    <w:p>
      <w:pPr>
        <w:pStyle w:val="Heading3"/>
        <w:spacing w:lineRule="auto" w:line="480" w:before="0" w:after="0"/>
        <w:ind w:hanging="0" w:start="0"/>
        <w:rPr/>
      </w:pPr>
      <w:bookmarkStart w:id="54" w:name="__RefHeading___Toc19700_3782221355"/>
      <w:bookmarkEnd w:id="54"/>
      <w:r>
        <w:rPr/>
        <w:t>Hypotheses and Predictions</w:t>
      </w:r>
    </w:p>
    <w:p>
      <w:pPr>
        <w:pStyle w:val="BodyText"/>
        <w:spacing w:lineRule="auto" w:line="480" w:before="0" w:after="0"/>
        <w:ind w:hanging="0" w:start="0"/>
        <w:rPr/>
      </w:pPr>
      <w:r>
        <w:rPr/>
        <w:t>asdf</w:t>
      </w:r>
    </w:p>
    <w:p>
      <w:pPr>
        <w:pStyle w:val="Heading3"/>
        <w:spacing w:lineRule="auto" w:line="480" w:before="0" w:after="0"/>
        <w:ind w:hanging="0" w:start="0"/>
        <w:rPr/>
      </w:pPr>
      <w:bookmarkStart w:id="55" w:name="__RefHeading___Toc19702_3782221355"/>
      <w:bookmarkEnd w:id="55"/>
      <w:r>
        <w:rPr/>
        <w:t>Power Analysis</w:t>
      </w:r>
    </w:p>
    <w:p>
      <w:pPr>
        <w:pStyle w:val="BodyText"/>
        <w:spacing w:lineRule="auto" w:line="480" w:before="0" w:after="0"/>
        <w:ind w:hanging="0" w:start="0"/>
        <w:rPr/>
      </w:pPr>
      <w:r>
        <w:rPr/>
        <w:tab/>
        <w:t xml:space="preserve"> A simulation-based power analysis was used to evaluate a recruitment target of approximately 100 participants. Data were generated from a negative binomial model containing standardised liking and mentacy scores and their interaction. The two predictors were assumed to correlate at r = .30. The simulated regression coefficients were 0.40 for liking, 0.35 for mentacy, and 0.20 for the liking × mentacy interaction, with a negative binomial dispersion parameter of 0.80. Statistical power was estimated across 10,000 simulated datasets at each candidate sample size using a two-sided significance threshold of (\alpha=.05).</w:t>
      </w:r>
    </w:p>
    <w:p>
      <w:pPr>
        <w:pStyle w:val="BodyText"/>
        <w:spacing w:lineRule="auto" w:line="480" w:before="0" w:after="0"/>
        <w:ind w:hanging="0" w:start="0"/>
        <w:rPr/>
      </w:pPr>
      <w:r>
        <w:rPr/>
        <w:tab/>
        <w:t>At N = 90, estimated power was .89 for the liking effect and .81 for the mentacy effect; at N = 110, the corresponding estimates were .94 and .88. A target sample of approximately 100 participants was therefore considered sufficient to provide at least 80% power to detect main effects of the anticipated magnitude. Power to detect the smaller interaction was considerably lower, increasing from .38 at N = 90 to .47 at N = 110. The target of 100 participants was consequently regarded as a reasonable and practically achievable sample for detecting the expected main associations, while recognising that the study would provide only a preliminary and relatively low-powered test of the interaction.</w:t>
      </w:r>
    </w:p>
    <w:p>
      <w:pPr>
        <w:pStyle w:val="BodyText"/>
        <w:spacing w:lineRule="auto" w:line="480" w:before="0" w:after="0"/>
        <w:ind w:hanging="0" w:start="0"/>
        <w:rPr/>
      </w:pPr>
      <w:r>
        <w:rPr/>
        <w:tab/>
        <w:t>……..One important issue for the eventual manuscript is that the simulation assumed considerably larger coefficients than those ultimately observed for some predictors, particularly mentacy. It also assumed an interaction coefficient of 0.20, whereas the observed interaction was smaller in absolute terms and negative. The analysis therefore justifies N≈100 under the original simulation assumptions, rather than demonstrating that 100 participants provided high power for every effect ultimately examined.</w:t>
      </w:r>
    </w:p>
    <w:p>
      <w:pPr>
        <w:pStyle w:val="Heading3"/>
        <w:ind w:hanging="0" w:start="0"/>
        <w:rPr/>
      </w:pPr>
      <w:r>
        <w:rPr/>
        <w:t>Preregistration</w:t>
      </w:r>
    </w:p>
    <w:p>
      <w:pPr>
        <w:pStyle w:val="BodyText"/>
        <w:spacing w:lineRule="auto" w:line="480" w:before="0" w:after="0"/>
        <w:ind w:hanging="0" w:start="0"/>
        <w:rPr/>
      </w:pPr>
      <w:r>
        <w:rPr/>
        <w:t>asdf</w:t>
      </w:r>
    </w:p>
    <w:p>
      <w:pPr>
        <w:pStyle w:val="Heading3"/>
        <w:spacing w:lineRule="auto" w:line="480" w:before="0" w:after="0"/>
        <w:ind w:hanging="0" w:start="0"/>
        <w:rPr/>
      </w:pPr>
      <w:bookmarkStart w:id="56" w:name="__RefHeading___Toc19704_3782221355"/>
      <w:bookmarkEnd w:id="56"/>
      <w:r>
        <w:rPr/>
        <w:t>Participants</w:t>
      </w:r>
    </w:p>
    <w:p>
      <w:pPr>
        <w:pStyle w:val="BodyText"/>
        <w:spacing w:lineRule="auto" w:line="480" w:before="0" w:after="0"/>
        <w:ind w:hanging="0" w:start="0"/>
        <w:rPr/>
      </w:pPr>
      <w:r>
        <w:rPr/>
        <w:t>One hundred participants were recruited through the University of Queensland School of Psychology SONA participant databases. Participants recruited through the undergraduate psychology participant pool received course credit, whereas those recruited through the paid participant pool received AUD $20. Each experimental session was scheduled for 1 hour.</w:t>
      </w:r>
    </w:p>
    <w:p>
      <w:pPr>
        <w:pStyle w:val="BodyText"/>
        <w:spacing w:lineRule="auto" w:line="480" w:before="0" w:after="0"/>
        <w:ind w:hanging="0" w:start="0"/>
        <w:rPr/>
      </w:pPr>
      <w:r>
        <w:rPr/>
        <w:t>Participants ranged in age from 17 to 48 years (M = 20.80, SD = 5.30). Seventy participants identified as female, 28 as male, and two as another gender.</w:t>
      </w:r>
    </w:p>
    <w:p>
      <w:pPr>
        <w:pStyle w:val="BodyText"/>
        <w:spacing w:lineRule="auto" w:line="480" w:before="0" w:after="0"/>
        <w:ind w:hanging="0" w:start="0"/>
        <w:rPr/>
      </w:pPr>
      <w:r>
        <w:rPr/>
        <w:t>////note exclusions///</w:t>
      </w:r>
    </w:p>
    <w:p>
      <w:pPr>
        <w:pStyle w:val="Heading2"/>
        <w:spacing w:lineRule="auto" w:line="480" w:before="0" w:after="0"/>
        <w:ind w:hanging="0" w:start="0"/>
        <w:rPr/>
      </w:pPr>
      <w:bookmarkStart w:id="57" w:name="__RefHeading___Toc19834_3782221355"/>
      <w:bookmarkEnd w:id="57"/>
      <w:r>
        <w:rPr/>
        <w:t>Results</w:t>
      </w:r>
    </w:p>
    <w:p>
      <w:pPr>
        <w:pStyle w:val="Heading3"/>
        <w:spacing w:lineRule="auto" w:line="480" w:before="0" w:after="0"/>
        <w:ind w:hanging="0" w:start="0"/>
        <w:rPr/>
      </w:pPr>
      <w:bookmarkStart w:id="58" w:name="__RefHeading___Toc19836_3782221355"/>
      <w:bookmarkEnd w:id="58"/>
      <w:r>
        <w:rPr/>
        <w:t>Descriptive statistics</w:t>
      </w:r>
    </w:p>
    <w:p>
      <w:pPr>
        <w:pStyle w:val="BodyText"/>
        <w:spacing w:lineRule="auto" w:line="480" w:before="0" w:after="0"/>
        <w:ind w:hanging="0" w:start="0"/>
        <w:rPr/>
      </w:pPr>
      <w:r>
        <w:rPr/>
        <w:t>Participants completed a mean of 17.65 optional CAPTCHA tasks on behalf of the robot (SD = 24.16, Mdn = 11, range = 0–128). The distribution was strongly positively skewed, with a small number of participants completing substantially more tasks than the remainder of the sample. Ninety-eight of the 100 participants completed at least one optional task.</w:t>
      </w:r>
    </w:p>
    <w:p>
      <w:pPr>
        <w:pStyle w:val="BodyText"/>
        <w:spacing w:lineRule="auto" w:line="480" w:before="0" w:after="0"/>
        <w:ind w:hanging="0" w:start="0"/>
        <w:rPr/>
      </w:pPr>
      <w:r>
        <w:rPr/>
        <w:t>Participants spent an average of 209.97 seconds on the optional task (SD = 253.38, Mdn = 133.66, range = 0–1199.06 seconds). Thus, although the typical participant continued for slightly more than 2 minutes, some participants persisted for considerably longer, including at least one participant who approached the undisclosed 20-minute limit.</w:t>
      </w:r>
    </w:p>
    <w:p>
      <w:pPr>
        <w:pStyle w:val="BodyText"/>
        <w:spacing w:lineRule="auto" w:line="480" w:before="0" w:after="0"/>
        <w:ind w:hanging="0" w:start="0"/>
        <w:rPr/>
      </w:pPr>
      <w:r>
        <w:rPr/>
        <w:t>The initial mandatory CAPTCHA task received a mean fun rating of 3.63 on the 1–7 scale (SD = 1.27), which was below the scale midpoint of 4. Participants also rated the task as relatively low in meaningfulness (M = 2.87, SD = 1.45) and slightly below the midpoint in difficulty (M = 3.14, SD = 1.35). These ratings suggest that the task was not generally experienced as highly enjoyable or meaningful, although the mean fun rating was not extremely low.</w:t>
      </w:r>
    </w:p>
    <w:p>
      <w:pPr>
        <w:pStyle w:val="BodyText"/>
        <w:spacing w:lineRule="auto" w:line="480" w:before="0" w:after="0"/>
        <w:ind w:hanging="0" w:start="0"/>
        <w:rPr/>
      </w:pPr>
      <w:r>
        <w:rPr/>
        <w:t>The focal robot was rated favourably overall. Mean likeability was 5.63 (SD = 0.98), and mean robot-directed empathy was 4.35 (SD = 1.67). The continuous mentacy score had a mean of −1.74 (SD = 3.77, range = −6 to 6), and 34 participants explicitly indicated that the robot had a mind.</w:t>
      </w:r>
    </w:p>
    <w:p>
      <w:pPr>
        <w:pStyle w:val="Heading3"/>
        <w:spacing w:lineRule="auto" w:line="480" w:before="0" w:after="0"/>
        <w:ind w:hanging="0" w:start="0"/>
        <w:rPr/>
      </w:pPr>
      <w:bookmarkStart w:id="59" w:name="__RefHeading___Toc19838_3782221355"/>
      <w:bookmarkEnd w:id="59"/>
      <w:r>
        <w:rPr/>
        <w:t>Associations among robot-response measures</w:t>
      </w:r>
    </w:p>
    <w:p>
      <w:pPr>
        <w:pStyle w:val="BodyText"/>
        <w:spacing w:lineRule="auto" w:line="480" w:before="0" w:after="0"/>
        <w:ind w:hanging="0" w:start="0"/>
        <w:rPr/>
      </w:pPr>
      <w:r>
        <w:rPr/>
        <w:t>Mentacy was positively associated with liking, r(98) = .38, 95% CI [.19, .53], p &lt; .001, and robot-directed empathy, r(98) = .39, 95% CI [.21, .54], p &lt; .001. Mentacy was also weakly positively associated with general positive attitudes towards robots, r(98) = .21, 95% CI [.02, .39], p = .032. It was not significantly related to general negative attitudes towards robots, r(98) = −.12, 95% CI [−.31, .08], p = .228.</w:t>
      </w:r>
    </w:p>
    <w:p>
      <w:pPr>
        <w:pStyle w:val="BodyText"/>
        <w:spacing w:lineRule="auto" w:line="480" w:before="0" w:after="0"/>
        <w:ind w:hanging="0" w:start="0"/>
        <w:rPr/>
      </w:pPr>
      <w:r>
        <w:rPr/>
        <w:t>Liking was strongly positively correlated with robot-directed empathy, r(98) = .62, 95% CI [.48, .73], p &lt; .001, and was moderately associated with positive general attitudes towards robots, r(98) = .29, 95% CI [.10, .46], p = .003. The association between liking and negative general attitudes was negative but did not reach the conventional significance threshold, r(98) = −.19, p = .053. Overall, mentacy, liking, empathy, and positive attitudes appeared to form a broadly positive cluster of responses to the robot rather than mentacy being associated with robot-related distrust or negativity.</w:t>
      </w:r>
    </w:p>
    <w:p>
      <w:pPr>
        <w:pStyle w:val="Heading3"/>
        <w:spacing w:lineRule="auto" w:line="480" w:before="0" w:after="0"/>
        <w:ind w:hanging="0" w:start="0"/>
        <w:rPr/>
      </w:pPr>
      <w:bookmarkStart w:id="60" w:name="__RefHeading___Toc19840_3782221355"/>
      <w:bookmarkEnd w:id="60"/>
      <w:r>
        <w:rPr/>
        <w:t>Primary negative binomial regression</w:t>
      </w:r>
    </w:p>
    <w:p>
      <w:pPr>
        <w:pStyle w:val="BodyText"/>
        <w:spacing w:lineRule="auto" w:line="480" w:before="0" w:after="0"/>
        <w:ind w:hanging="0" w:start="0"/>
        <w:rPr/>
      </w:pPr>
      <w:r>
        <w:rPr/>
        <w:t>The number of optional CAPTCHA completions was analysed using negative binomial regression. Likeability and mentacy were mean-centred before the interaction term was calculated. The model included centred likeability, centred mentacy, and their interaction.</w:t>
      </w:r>
    </w:p>
    <w:p>
      <w:pPr>
        <w:pStyle w:val="BodyText"/>
        <w:spacing w:lineRule="auto" w:line="480" w:before="0" w:after="0"/>
        <w:ind w:hanging="0" w:start="0"/>
        <w:rPr/>
      </w:pPr>
      <w:r>
        <w:rPr/>
        <w:t>The overall model was statistically significant, likelihood-ratio (\chi^2(3) = 23.75), p &lt; .001. The estimated dispersion parameter was significantly greater than zero, (\alpha = 0.73), SE = 0.11, p &lt; .001, supporting the use of a negative binomial rather than Poisson model. The model-predicted mean count was 17.14, compared with an observed mean of 17.65.</w:t>
      </w:r>
    </w:p>
    <w:p>
      <w:pPr>
        <w:pStyle w:val="BodyText"/>
        <w:spacing w:lineRule="auto" w:line="480" w:before="0" w:after="0"/>
        <w:ind w:hanging="0" w:start="0"/>
        <w:rPr/>
      </w:pPr>
      <w:r>
        <w:rPr/>
        <w:t>Predictor</w:t>
        <w:tab/>
        <w:t>b</w:t>
        <w:tab/>
        <w:t>SE</w:t>
        <w:tab/>
        <w:t>z</w:t>
        <w:tab/>
        <w:t>p</w:t>
        <w:tab/>
        <w:t>IRR</w:t>
        <w:tab/>
        <w:t>95% CI for IRR</w:t>
      </w:r>
    </w:p>
    <w:p>
      <w:pPr>
        <w:pStyle w:val="BodyText"/>
        <w:spacing w:lineRule="auto" w:line="480" w:before="0" w:after="0"/>
        <w:ind w:hanging="0" w:start="0"/>
        <w:rPr/>
      </w:pPr>
      <w:r>
        <w:rPr/>
        <w:t>Intercept</w:t>
        <w:tab/>
        <w:t>2.861</w:t>
        <w:tab/>
        <w:t>0.094</w:t>
        <w:tab/>
        <w:t>30.39</w:t>
        <w:tab/>
        <w:t>&lt; .001</w:t>
        <w:tab/>
        <w:t>17.47</w:t>
        <w:tab/>
        <w:t>[14.53, 21.01]</w:t>
      </w:r>
    </w:p>
    <w:p>
      <w:pPr>
        <w:pStyle w:val="BodyText"/>
        <w:spacing w:lineRule="auto" w:line="480" w:before="0" w:after="0"/>
        <w:ind w:hanging="0" w:start="0"/>
        <w:rPr/>
      </w:pPr>
      <w:r>
        <w:rPr/>
        <w:t>Likeability</w:t>
        <w:tab/>
        <w:t>0.233</w:t>
        <w:tab/>
        <w:t>0.091</w:t>
        <w:tab/>
        <w:t>2.55</w:t>
        <w:tab/>
        <w:t>.011</w:t>
        <w:tab/>
        <w:t>1.26</w:t>
        <w:tab/>
        <w:t>[1.06, 1.51]</w:t>
      </w:r>
    </w:p>
    <w:p>
      <w:pPr>
        <w:pStyle w:val="BodyText"/>
        <w:spacing w:lineRule="auto" w:line="480" w:before="0" w:after="0"/>
        <w:ind w:hanging="0" w:start="0"/>
        <w:rPr/>
      </w:pPr>
      <w:r>
        <w:rPr/>
        <w:t>Mentacy</w:t>
        <w:tab/>
        <w:t>0.050</w:t>
        <w:tab/>
        <w:t>0.025</w:t>
        <w:tab/>
        <w:t>1.99</w:t>
        <w:tab/>
        <w:t>.047</w:t>
        <w:tab/>
        <w:t>1.05</w:t>
        <w:tab/>
        <w:t>[1.001, 1.10]</w:t>
      </w:r>
    </w:p>
    <w:p>
      <w:pPr>
        <w:pStyle w:val="BodyText"/>
        <w:spacing w:lineRule="auto" w:line="480" w:before="0" w:after="0"/>
        <w:ind w:hanging="0" w:start="0"/>
        <w:rPr/>
      </w:pPr>
      <w:r>
        <w:rPr/>
        <w:t>Likeability × mentacy</w:t>
        <w:tab/>
        <w:t>−0.070</w:t>
        <w:tab/>
        <w:t>0.024</w:t>
        <w:tab/>
        <w:t>−2.97</w:t>
        <w:tab/>
        <w:t>.003</w:t>
        <w:tab/>
        <w:t>0.93</w:t>
        <w:tab/>
        <w:t>[0.89, 0.98]</w:t>
      </w:r>
    </w:p>
    <w:p>
      <w:pPr>
        <w:pStyle w:val="BodyText"/>
        <w:spacing w:lineRule="auto" w:line="480" w:before="0" w:after="0"/>
        <w:ind w:hanging="0" w:start="0"/>
        <w:rPr/>
      </w:pPr>
      <w:r>
        <w:rPr/>
        <w:t>Because both predictors were centred, the likeability coefficient represents its association with completions at average mentacy. At this level of mentacy, each one-unit increase in likeability was associated with an estimated 26% increase in the expected number of completions. Similarly, at average likeability, each one-unit increase in mentacy was associated with an estimated 5% increase in completions.</w:t>
      </w:r>
    </w:p>
    <w:p>
      <w:pPr>
        <w:pStyle w:val="BodyText"/>
        <w:spacing w:lineRule="auto" w:line="480" w:before="0" w:after="0"/>
        <w:ind w:hanging="0" w:start="0"/>
        <w:rPr/>
      </w:pPr>
      <w:r>
        <w:rPr/>
        <w:t>These conditional main effects were qualified by a significant negative likeability × mentacy interaction. As mentacy increased, the positive association between liking and task completion became weaker. Equivalently, the association between mentacy and helping was stronger among participants who liked the robot relatively little than among those who liked it more.</w:t>
      </w:r>
    </w:p>
    <w:p>
      <w:pPr>
        <w:pStyle w:val="BodyText"/>
        <w:spacing w:lineRule="auto" w:line="480" w:before="0" w:after="0"/>
        <w:ind w:hanging="0" w:start="0"/>
        <w:rPr/>
      </w:pPr>
      <w:r>
        <w:rPr/>
        <w:t>Follow-up simple-slope calculations illustrated the form of the interaction. At one standard deviation below the mean of mentacy, likeability was strongly positively associated with completions, b = 0.496, SE = 0.101, z = 4.92, p &lt; .001, IRR = 1.64, 95% CI [1.35, 2.00]. At one standard deviation above the mean of mentacy, likeability was not associated with completions, b = −0.030, SE = 0.149, z = −0.20, p = .838, IRR = 0.97, 95% CI [0.72, 1.30].</w:t>
      </w:r>
    </w:p>
    <w:p>
      <w:pPr>
        <w:pStyle w:val="BodyText"/>
        <w:spacing w:lineRule="auto" w:line="480" w:before="0" w:after="0"/>
        <w:ind w:hanging="0" w:start="0"/>
        <w:rPr/>
      </w:pPr>
      <w:r>
        <w:rPr/>
        <w:t>The complementary pattern was found for mentacy. At one standard deviation below the mean of likeability, mentacy was positively associated with completions, b = 0.118, SE = 0.039, z = 3.00, p = .003, IRR = 1.13, 95% CI [1.04, 1.22]. At one standard deviation above the mean of likeability, mentacy was not associated with completions, b = −0.019, SE = 0.028, z = −0.67, p = .502, IRR = 0.98, 95% CI [0.93, 1.04].</w:t>
      </w:r>
    </w:p>
    <w:p>
      <w:pPr>
        <w:pStyle w:val="BodyText"/>
        <w:spacing w:lineRule="auto" w:line="480" w:before="0" w:after="0"/>
        <w:ind w:hanging="0" w:start="0"/>
        <w:rPr/>
      </w:pPr>
      <w:r>
        <w:rPr/>
        <w:t>Thus, neither high liking nor high mentacy appeared necessary when the other response was already relatively high. Instead, the greatest difference in helping appeared among participants low on one predictor, for whom the level of the other predictor was more consequential.</w:t>
      </w:r>
    </w:p>
    <w:p>
      <w:pPr>
        <w:pStyle w:val="BodyText"/>
        <w:spacing w:lineRule="auto" w:line="480" w:before="0" w:after="0"/>
        <w:ind w:hanging="0" w:start="0"/>
        <w:rPr/>
      </w:pPr>
      <w:r>
        <w:rPr/>
        <w:t>Descriptive examination of the interaction</w:t>
      </w:r>
    </w:p>
    <w:p>
      <w:pPr>
        <w:pStyle w:val="BodyText"/>
        <w:spacing w:lineRule="auto" w:line="480" w:before="0" w:after="0"/>
        <w:ind w:hanging="0" w:start="0"/>
        <w:rPr/>
      </w:pPr>
      <w:r>
        <w:rPr/>
        <w:t>For descriptive purposes, participants were divided according to whether their liking and mentacy scores fell above or below their respective sample means. Participants who were below the mean on both liking and mentacy completed the fewest tasks (n = 18, M = 8.39, Mdn = 8.50, SD = 5.57).</w:t>
      </w:r>
    </w:p>
    <w:p>
      <w:pPr>
        <w:pStyle w:val="BodyText"/>
        <w:spacing w:lineRule="auto" w:line="480" w:before="0" w:after="0"/>
        <w:ind w:hanging="0" w:start="0"/>
        <w:rPr/>
      </w:pPr>
      <w:r>
        <w:rPr/>
        <w:t>Participants with lower liking but higher mentacy completed a mean of 18.23 tasks (n = 22, Mdn = 11, SD = 26.85), whereas those with higher liking and higher mentacy completed a similar mean of 18.62 tasks (n = 45, Mdn = 11, SD = 22.48). The higher-liking, lower-mentacy group had the highest arithmetic mean (n = 15, M = 25.00), but also showed substantial variability (SD = 35.35) and a median of only 10.</w:t>
      </w:r>
    </w:p>
    <w:p>
      <w:pPr>
        <w:pStyle w:val="BodyText"/>
        <w:spacing w:lineRule="auto" w:line="480" w:before="0" w:after="0"/>
        <w:ind w:hanging="0" w:start="0"/>
        <w:rPr/>
      </w:pPr>
      <w:r>
        <w:rPr/>
        <w:t>These descriptive means are consistent with the lower-liking, lower-mentacy group being distinguished by comparatively low helping. However, the large standard deviations and similar medians across the other three groups indicate that their arithmetic means were strongly affected by a small number of high completers. The mean-split groups were used only to describe the interaction and were not treated as separate inferential categories.</w:t>
      </w:r>
    </w:p>
    <w:p>
      <w:pPr>
        <w:pStyle w:val="Heading3"/>
        <w:spacing w:lineRule="auto" w:line="480" w:before="0" w:after="0"/>
        <w:ind w:hanging="0" w:start="0"/>
        <w:rPr/>
      </w:pPr>
      <w:bookmarkStart w:id="61" w:name="__RefHeading___Toc19842_3782221355"/>
      <w:bookmarkEnd w:id="61"/>
      <w:r>
        <w:rPr/>
        <w:t>Exploratory models</w:t>
      </w:r>
    </w:p>
    <w:p>
      <w:pPr>
        <w:pStyle w:val="BodyText"/>
        <w:spacing w:lineRule="auto" w:line="480" w:before="0" w:after="0"/>
        <w:ind w:hanging="0" w:start="0"/>
        <w:rPr/>
      </w:pPr>
      <w:r>
        <w:rPr/>
        <w:t>An exploratory model added positive and negative GAToRS scores and IDAQ anthropomorphism to the primary predictors. Adding these three variables did not significantly improve model fit, likelihood-ratio (\chi^2(3) = 2.60), p = .458. None of the three additional predictors was independently associated with completions: positive GAToRS, b = −0.049, p = .754; negative GAToRS, b = −0.173, p = .171; and IDAQ, b = 0.077, p = .389.</w:t>
      </w:r>
    </w:p>
    <w:p>
      <w:pPr>
        <w:pStyle w:val="BodyText"/>
        <w:spacing w:lineRule="auto" w:line="480" w:before="0" w:after="0"/>
        <w:ind w:hanging="0" w:start="0"/>
        <w:rPr/>
      </w:pPr>
      <w:r>
        <w:rPr/>
        <w:t>The liking × mentacy interaction remained statistically significant in this expanded model, b = −0.082, SE = 0.025, p = .001. The conditional effects of liking and mentacy were reduced to p = .077 and p = .070, respectively.</w:t>
      </w:r>
    </w:p>
    <w:p>
      <w:pPr>
        <w:pStyle w:val="BodyText"/>
        <w:spacing w:lineRule="auto" w:line="480" w:before="0" w:after="0"/>
        <w:ind w:hanging="0" w:start="0"/>
        <w:rPr/>
      </w:pPr>
      <w:r>
        <w:rPr/>
        <w:t>A separate model tested whether participants’ ratings of the initial CAPTCHA task predicted their subsequent optional completions. Neither task fun, b = 0.097, SE = 0.069, p = .159, nor perceived difficulty, b = −0.078, SE = 0.076, p = .307, was significantly associated with completions. This model was not significant overall, likelihood-ratio (\chi^2(2) = 3.05), p = .218.</w:t>
      </w:r>
    </w:p>
    <w:p>
      <w:pPr>
        <w:pStyle w:val="BodyText"/>
        <w:spacing w:lineRule="auto" w:line="480" w:before="0" w:after="0"/>
        <w:ind w:hanging="0" w:start="0"/>
        <w:rPr/>
      </w:pPr>
      <w:r>
        <w:rPr/>
        <w:t>Adding fun and difficulty to the model containing the theoretical and exploratory robot-response predictors did not improve fit, likelihood-ratio (\chi^2(2) = 2.04), p = .361. In the resulting full model, the liking × mentacy interaction remained significant, b = −0.074, SE = 0.025, p = .003, whereas neither the conditional effect of liking, p = .051, nor mentacy, p = .274, was statistically significant.</w:t>
      </w:r>
    </w:p>
    <w:p>
      <w:pPr>
        <w:pStyle w:val="BodyText"/>
        <w:spacing w:lineRule="auto" w:line="480" w:before="0" w:after="0"/>
        <w:ind w:hanging="0" w:start="0"/>
        <w:rPr/>
      </w:pPr>
      <w:r>
        <w:rPr/>
        <w:t>The primary liking–mentacy model had the lowest AIC and BIC of the models examined, although these model comparisons should be interpreted cautiously because the primary model was more parsimonious and the additional predictors did not substantially increase explanatory performance.</w:t>
      </w:r>
    </w:p>
    <w:p>
      <w:pPr>
        <w:pStyle w:val="Heading3"/>
        <w:spacing w:lineRule="auto" w:line="480" w:before="0" w:after="0"/>
        <w:ind w:hanging="0" w:start="0"/>
        <w:rPr/>
      </w:pPr>
      <w:bookmarkStart w:id="62" w:name="__RefHeading___Toc19844_3782221355"/>
      <w:bookmarkEnd w:id="62"/>
      <w:r>
        <w:rPr/>
        <w:t>Influence and sensitivity analyses</w:t>
      </w:r>
    </w:p>
    <w:p>
      <w:pPr>
        <w:pStyle w:val="BodyText"/>
        <w:spacing w:lineRule="auto" w:line="480" w:before="0" w:after="0"/>
        <w:ind w:hanging="0" w:start="0"/>
        <w:rPr/>
      </w:pPr>
      <w:r>
        <w:rPr/>
        <w:t>Model diagnostics identified several observations with large positive residuals. These reflected participants who completed considerably more tasks than predicted by the model, rather than impossible values or known recording errors. Given the strongly skewed outcome and the potential influence of these cases, the primary model was repeated using a DFBETAs-based sensitivity dataset in which three influential observations had been removed.</w:t>
      </w:r>
    </w:p>
    <w:p>
      <w:pPr>
        <w:pStyle w:val="BodyText"/>
        <w:spacing w:lineRule="auto" w:line="480" w:before="0" w:after="0"/>
        <w:ind w:hanging="0" w:start="0"/>
        <w:rPr/>
      </w:pPr>
      <w:r>
        <w:rPr/>
        <w:t>In the sensitivity model (N = 97), the liking × mentacy interaction remained similar in magnitude and statistically significant, b = −0.073, SE = 0.025, z = −3.00, p = .003, IRR = 0.93, 95% CI [0.89, 0.97]. The conditional effect of liking was smaller and lay at the conventional significance threshold, b = 0.181, SE = 0.092, p = .050, IRR = 1.20. The conditional effect of mentacy was substantially reduced and was not statistically significant, b = 0.016, SE = 0.025, p = .530, IRR = 1.02.</w:t>
      </w:r>
    </w:p>
    <w:p>
      <w:pPr>
        <w:pStyle w:val="BodyText"/>
        <w:spacing w:lineRule="auto" w:line="480" w:before="0" w:after="0"/>
        <w:ind w:hanging="0" w:start="0"/>
        <w:rPr/>
      </w:pPr>
      <w:r>
        <w:rPr/>
        <w:t>The sensitivity analysis therefore indicated that the negative interaction was not attributable solely to the most influential observations. In contrast, the evidence for separate positive conditional effects of liking and mentacy was less robust, particularly for mentacy.</w:t>
      </w:r>
    </w:p>
    <w:p>
      <w:pPr>
        <w:pStyle w:val="BodyText"/>
        <w:spacing w:lineRule="auto" w:line="480" w:before="0" w:after="0"/>
        <w:ind w:hanging="0" w:start="0"/>
        <w:rPr/>
      </w:pPr>
      <w:r>
        <w:rPr/>
        <w:t>Outstanding issues for the next draft</w:t>
      </w:r>
    </w:p>
    <w:p>
      <w:pPr>
        <w:pStyle w:val="BodyText"/>
        <w:spacing w:lineRule="auto" w:line="480" w:before="0" w:after="0"/>
        <w:ind w:hanging="0" w:start="0"/>
        <w:rPr/>
      </w:pPr>
      <w:r>
        <w:rPr/>
        <w:t xml:space="preserve">    </w:t>
      </w:r>
      <w:r>
        <w:rPr/>
        <w:t xml:space="preserve">1. Confirm the status of each analysis. The section currently treats the three-predictor model as primary and the remaining models as exploratory. This should be aligned with the preregistration or documented analysis plan. </w:t>
      </w:r>
    </w:p>
    <w:p>
      <w:pPr>
        <w:pStyle w:val="BodyText"/>
        <w:spacing w:lineRule="auto" w:line="480" w:before="0" w:after="0"/>
        <w:ind w:hanging="0" w:start="0"/>
        <w:rPr/>
      </w:pPr>
      <w:r>
        <w:rPr/>
        <w:t xml:space="preserve">    </w:t>
      </w:r>
      <w:r>
        <w:rPr/>
        <w:t xml:space="preserve">2. Resolve “mentism” versus “mentacy”. The files use mentism, whereas the developing article uses mentacy. The chosen term and its exact coding need to be standardised throughout. </w:t>
      </w:r>
    </w:p>
    <w:p>
      <w:pPr>
        <w:pStyle w:val="BodyText"/>
        <w:spacing w:lineRule="auto" w:line="480" w:before="0" w:after="0"/>
        <w:ind w:hanging="0" w:start="0"/>
        <w:rPr/>
      </w:pPr>
      <w:r>
        <w:rPr/>
        <w:t xml:space="preserve">    </w:t>
      </w:r>
      <w:r>
        <w:rPr/>
        <w:t xml:space="preserve">3. Document the DFBETAs procedure. The current sensitivity file contains 97 participants, implying that three cases were removed, whereas earlier notes referred to removing two extreme cases. The exclusion threshold, case identifiers, and reason for selecting that particular sensitivity dataset should be recorded. </w:t>
      </w:r>
    </w:p>
    <w:p>
      <w:pPr>
        <w:pStyle w:val="BodyText"/>
        <w:spacing w:lineRule="auto" w:line="480" w:before="0" w:after="0"/>
        <w:ind w:hanging="0" w:start="0"/>
        <w:rPr/>
      </w:pPr>
      <w:r>
        <w:rPr/>
        <w:t xml:space="preserve">    </w:t>
      </w:r>
      <w:r>
        <w:rPr/>
        <w:t xml:space="preserve">4. Add an interaction figure. A plot of model-predicted counts across liking at low, mean, and high mentacy would communicate the result more effectively than the quadrant means. </w:t>
      </w:r>
    </w:p>
    <w:p>
      <w:pPr>
        <w:pStyle w:val="BodyText"/>
        <w:spacing w:lineRule="auto" w:line="480" w:before="0" w:after="0"/>
        <w:ind w:hanging="0" w:start="0"/>
        <w:rPr/>
      </w:pPr>
      <w:r>
        <w:rPr/>
        <w:t xml:space="preserve">    </w:t>
      </w:r>
      <w:r>
        <w:rPr/>
        <w:t xml:space="preserve">5. Keep the mean-split analysis descriptive. The quadrant comparison is useful for understanding the pattern but should not become the main inferential test. </w:t>
      </w:r>
    </w:p>
    <w:p>
      <w:pPr>
        <w:pStyle w:val="BodyText"/>
        <w:spacing w:lineRule="auto" w:line="480" w:before="0" w:after="0"/>
        <w:ind w:hanging="0" w:start="0"/>
        <w:rPr/>
      </w:pPr>
      <w:r>
        <w:rPr/>
        <w:t xml:space="preserve">    </w:t>
      </w:r>
      <w:r>
        <w:rPr/>
        <w:t xml:space="preserve">6. Consider a Johnson–Neyman analysis. The simple slopes at ±1 SD are informative, but a Johnson–Neyman interval would identify the precise mentacy values at which the association between liking and completions was statistically distinguishable from zero. </w:t>
      </w:r>
    </w:p>
    <w:p>
      <w:pPr>
        <w:pStyle w:val="BodyText"/>
        <w:spacing w:lineRule="auto" w:line="480" w:before="0" w:after="0"/>
        <w:ind w:hanging="0" w:start="0"/>
        <w:rPr/>
      </w:pPr>
      <w:r>
        <w:rPr/>
        <w:t xml:space="preserve">    </w:t>
      </w:r>
      <w:r>
        <w:rPr/>
        <w:t xml:space="preserve">7. Clarify censoring. The maximum total time of approximately 1199 seconds suggests that a participant reached or nearly reached the 20-minute limit. The number of censored participants and the software’s treatment of their final task should be reported. </w:t>
      </w:r>
    </w:p>
    <w:p>
      <w:pPr>
        <w:pStyle w:val="BodyText"/>
        <w:spacing w:lineRule="auto" w:line="480" w:before="0" w:after="0"/>
        <w:ind w:hanging="0" w:start="0"/>
        <w:rPr/>
      </w:pPr>
      <w:r>
        <w:rPr/>
        <w:t xml:space="preserve">    </w:t>
      </w:r>
      <w:r>
        <w:rPr/>
        <w:t xml:space="preserve">8. Check the two zero-completion cases. It should be confirmed that these represent genuine choices not to continue rather than technical failures or misunderstood instructions. </w:t>
      </w:r>
    </w:p>
    <w:p>
      <w:pPr>
        <w:pStyle w:val="BodyText"/>
        <w:spacing w:lineRule="auto" w:line="480" w:before="0" w:after="0"/>
        <w:ind w:hanging="0" w:start="0"/>
        <w:rPr/>
      </w:pPr>
      <w:r>
        <w:rPr/>
        <w:t xml:space="preserve">    </w:t>
      </w:r>
      <w:r>
        <w:rPr/>
        <w:t xml:space="preserve">9. Decide whether to test fun against the midpoint. The mean fun rating was below 4, but the substantive importance of a relatively small difference from the midpoint should not be overstated. </w:t>
      </w:r>
    </w:p>
    <w:p>
      <w:pPr>
        <w:pStyle w:val="BodyText"/>
        <w:spacing w:lineRule="auto" w:line="480" w:before="0" w:after="0"/>
        <w:ind w:hanging="0" w:start="0"/>
        <w:rPr/>
      </w:pPr>
      <w:r>
        <w:rPr/>
        <w:t xml:space="preserve">    </w:t>
      </w:r>
      <w:r>
        <w:rPr/>
        <w:t xml:space="preserve">10. Avoid treating non-significant fun and difficulty coefficients as proof of altruistic motivation. They weaken one alternative explanation but cannot show that participants did not receive intrinsic enjoyment, satisfaction, competitiveness, or other personal rewards from continuing. </w:t>
      </w:r>
    </w:p>
    <w:p>
      <w:pPr>
        <w:pStyle w:val="BodyText"/>
        <w:spacing w:lineRule="auto" w:line="480" w:before="0" w:after="0"/>
        <w:ind w:hanging="0" w:start="0"/>
        <w:rPr/>
      </w:pPr>
      <w:r>
        <w:rPr/>
        <w:t xml:space="preserve">    </w:t>
      </w:r>
      <w:r>
        <w:rPr/>
        <w:t xml:space="preserve">11. Consider robust uncertainty estimates. The current output uses non-robust standard errors. Given the extreme counts and influential observations, robust standard errors or bootstrap confidence intervals may be useful as an additional sensitivity check. </w:t>
      </w:r>
    </w:p>
    <w:p>
      <w:pPr>
        <w:pStyle w:val="BodyText"/>
        <w:spacing w:lineRule="auto" w:line="480" w:before="0" w:after="0"/>
        <w:ind w:hanging="0" w:start="0"/>
        <w:rPr/>
      </w:pPr>
      <w:r>
        <w:rPr/>
        <w:t xml:space="preserve">    </w:t>
      </w:r>
      <w:r>
        <w:rPr/>
        <w:t>12. Determine what belongs in the main text. The correlations, expanded models, diagnostics, and quadrant summaries may eventually be condensed, with full outputs placed in supplementary materials.</w:t>
      </w:r>
    </w:p>
    <w:p>
      <w:pPr>
        <w:pStyle w:val="BodyText"/>
        <w:spacing w:lineRule="auto" w:line="480" w:before="0" w:after="0"/>
        <w:ind w:hanging="0" w:start="0"/>
        <w:rPr/>
      </w:pPr>
      <w:r>
        <w:rPr/>
      </w:r>
    </w:p>
    <w:p>
      <w:pPr>
        <w:pStyle w:val="BodyText"/>
        <w:spacing w:lineRule="auto" w:line="480" w:before="0" w:after="0"/>
        <w:ind w:hanging="0"/>
        <w:rPr>
          <w:b/>
          <w:sz w:val="11"/>
        </w:rPr>
      </w:pPr>
      <w:r>
        <w:rPr>
          <w:b/>
          <w:sz w:val="11"/>
        </w:rPr>
        <w:drawing>
          <wp:anchor behindDoc="0" distT="0" distB="0" distL="0" distR="0" simplePos="0" locked="0" layoutInCell="0" allowOverlap="1" relativeHeight="6">
            <wp:simplePos x="0" y="0"/>
            <wp:positionH relativeFrom="page">
              <wp:posOffset>724535</wp:posOffset>
            </wp:positionH>
            <wp:positionV relativeFrom="paragraph">
              <wp:posOffset>99060</wp:posOffset>
            </wp:positionV>
            <wp:extent cx="6096000" cy="4062095"/>
            <wp:effectExtent l="0" t="0" r="0" b="0"/>
            <wp:wrapTopAndBottom/>
            <wp:docPr id="6" name="Image2" descr="A large building with a lawn and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 large building with a lawn and people walking&#10;&#10;AI-generated content may be incorrect."/>
                    <pic:cNvPicPr>
                      <a:picLocks noChangeAspect="1" noChangeArrowheads="1"/>
                    </pic:cNvPicPr>
                  </pic:nvPicPr>
                  <pic:blipFill>
                    <a:blip r:embed="rId22"/>
                    <a:stretch>
                      <a:fillRect/>
                    </a:stretch>
                  </pic:blipFill>
                  <pic:spPr bwMode="auto">
                    <a:xfrm>
                      <a:off x="0" y="0"/>
                      <a:ext cx="6096000" cy="4062095"/>
                    </a:xfrm>
                    <a:prstGeom prst="rect">
                      <a:avLst/>
                    </a:prstGeom>
                    <a:noFill/>
                  </pic:spPr>
                </pic:pic>
              </a:graphicData>
            </a:graphic>
          </wp:anchor>
        </w:drawing>
      </w:r>
    </w:p>
    <w:p>
      <w:pPr>
        <w:pStyle w:val="BodyText"/>
        <w:spacing w:lineRule="auto" w:line="480" w:before="0" w:after="0"/>
        <w:ind w:hanging="0"/>
        <w:rPr>
          <w:b/>
          <w:sz w:val="16"/>
        </w:rPr>
      </w:pPr>
      <w:r>
        <w:rPr>
          <w:b/>
          <w:sz w:val="16"/>
        </w:rPr>
      </w:r>
    </w:p>
    <w:p>
      <w:pPr>
        <w:pStyle w:val="Caption"/>
        <w:spacing w:lineRule="auto" w:line="480" w:before="0" w:after="0"/>
        <w:ind w:hanging="0"/>
        <w:rPr/>
      </w:pPr>
      <w:bookmarkStart w:id="63" w:name="_Toc198551008"/>
      <w:r>
        <w:rPr/>
        <w:t xml:space="preserve">Figure </w:t>
      </w:r>
      <w:r>
        <w:rPr/>
        <w:fldChar w:fldCharType="begin"/>
      </w:r>
      <w:r>
        <w:rPr/>
        <w:instrText xml:space="preserve"> SEQ Figure \* ARABIC </w:instrText>
      </w:r>
      <w:r>
        <w:rPr/>
        <w:fldChar w:fldCharType="separate"/>
      </w:r>
      <w:r>
        <w:rPr/>
        <w:t>2</w:t>
      </w:r>
      <w:r>
        <w:rPr/>
        <w:fldChar w:fldCharType="end"/>
      </w:r>
      <w:r>
        <w:rPr/>
        <w:t>: The University of Queensland</w:t>
      </w:r>
      <w:bookmarkEnd w:id="63"/>
    </w:p>
    <w:p>
      <w:pPr>
        <w:pStyle w:val="BodyText"/>
        <w:spacing w:lineRule="auto" w:line="480" w:before="0" w:after="0"/>
        <w:ind w:hanging="0"/>
        <w:rPr/>
      </w:pPr>
      <w:r>
        <w:rPr/>
      </w:r>
    </w:p>
    <w:p>
      <w:pPr>
        <w:pStyle w:val="Heading2"/>
        <w:spacing w:lineRule="auto" w:line="480" w:before="0" w:after="0"/>
        <w:ind w:hanging="0" w:start="0"/>
        <w:rPr/>
      </w:pPr>
      <w:bookmarkStart w:id="64" w:name="__RefHeading___Toc19846_3782221355"/>
      <w:bookmarkEnd w:id="64"/>
      <w:r>
        <w:rPr/>
        <w:t>Discussion</w:t>
      </w:r>
    </w:p>
    <w:p>
      <w:pPr>
        <w:pStyle w:val="Normal"/>
        <w:spacing w:lineRule="auto" w:line="480" w:before="0" w:after="0"/>
        <w:ind w:hanging="0" w:start="0"/>
        <w:rPr>
          <w:sz w:val="24"/>
          <w:szCs w:val="24"/>
        </w:rPr>
      </w:pPr>
      <w:r>
        <w:rPr>
          <w:sz w:val="24"/>
          <w:szCs w:val="24"/>
        </w:rPr>
        <w:t>adsfgasdfasdf</w:t>
      </w:r>
    </w:p>
    <w:p>
      <w:pPr>
        <w:pStyle w:val="Normal"/>
        <w:spacing w:lineRule="auto" w:line="480" w:before="0" w:after="0"/>
        <w:ind w:hanging="0" w:start="0"/>
        <w:rPr>
          <w:sz w:val="24"/>
          <w:szCs w:val="24"/>
        </w:rPr>
      </w:pPr>
      <w:r>
        <w:rPr>
          <w:sz w:val="24"/>
          <w:szCs w:val="24"/>
        </w:rPr>
        <w:t>asdfadsfdsf</w:t>
      </w:r>
    </w:p>
    <w:p>
      <w:pPr>
        <w:pStyle w:val="Normal"/>
        <w:spacing w:lineRule="auto" w:line="480" w:before="0" w:after="0"/>
        <w:ind w:hanging="0" w:start="0"/>
        <w:rPr>
          <w:sz w:val="20"/>
          <w:szCs w:val="24"/>
        </w:rPr>
      </w:pPr>
      <w:r>
        <w:rPr>
          <w:sz w:val="20"/>
          <w:szCs w:val="24"/>
        </w:rPr>
      </w:r>
      <w:r>
        <w:br w:type="page"/>
      </w:r>
    </w:p>
    <w:p>
      <w:pPr>
        <w:pStyle w:val="BodyText"/>
        <w:spacing w:before="0" w:after="0"/>
        <w:rPr>
          <w:sz w:val="20"/>
        </w:rPr>
      </w:pPr>
      <w:r>
        <w:rPr>
          <w:sz w:val="20"/>
        </w:rPr>
      </w:r>
    </w:p>
    <w:p>
      <w:pPr>
        <w:pStyle w:val="Normal"/>
        <w:pBdr>
          <w:top w:val="single" w:sz="4" w:space="1" w:color="000000"/>
        </w:pBdr>
        <w:rPr>
          <w:sz w:val="24"/>
          <w:szCs w:val="24"/>
        </w:rPr>
      </w:pPr>
      <w:r>
        <w:rPr>
          <w:sz w:val="24"/>
          <w:szCs w:val="24"/>
        </w:rPr>
      </w:r>
      <w:bookmarkStart w:id="65" w:name="_bookmark10"/>
      <w:bookmarkStart w:id="66" w:name="Bibliography"/>
      <w:bookmarkStart w:id="67" w:name="_bookmark10"/>
      <w:bookmarkStart w:id="68" w:name="Bibliography"/>
      <w:bookmarkEnd w:id="67"/>
      <w:bookmarkEnd w:id="68"/>
    </w:p>
    <w:p>
      <w:pPr>
        <w:pStyle w:val="Heading1"/>
        <w:numPr>
          <w:ilvl w:val="0"/>
          <w:numId w:val="0"/>
        </w:numPr>
        <w:ind w:hanging="500" w:start="500"/>
        <w:rPr/>
      </w:pPr>
      <w:bookmarkStart w:id="69" w:name="__RefHeading___Toc19463_3782221355"/>
      <w:bookmarkStart w:id="70" w:name="_Toc198551002"/>
      <w:bookmarkEnd w:id="69"/>
      <w:r>
        <w:rPr/>
        <w:t>References</w:t>
      </w:r>
      <w:bookmarkEnd w:id="70"/>
    </w:p>
    <w:p>
      <w:pPr>
        <w:pStyle w:val="Normal"/>
        <w:pBdr>
          <w:bottom w:val="single" w:sz="4" w:space="1" w:color="000000"/>
        </w:pBdr>
        <w:rPr>
          <w:sz w:val="24"/>
          <w:szCs w:val="24"/>
        </w:rPr>
      </w:pPr>
      <w:r>
        <w:rPr>
          <w:sz w:val="24"/>
          <w:szCs w:val="24"/>
        </w:rPr>
      </w:r>
    </w:p>
    <w:p>
      <w:pPr>
        <w:pStyle w:val="BodyText"/>
        <w:rPr>
          <w:b/>
          <w:sz w:val="20"/>
        </w:rPr>
      </w:pPr>
      <w:r>
        <w:rPr>
          <w:b/>
          <w:sz w:val="20"/>
        </w:rPr>
      </w:r>
    </w:p>
    <w:p>
      <w:pPr>
        <w:pStyle w:val="BodyText"/>
        <w:rPr>
          <w:b/>
          <w:sz w:val="20"/>
        </w:rPr>
      </w:pPr>
      <w:r>
        <w:rPr>
          <w:b/>
          <w:sz w:val="20"/>
        </w:rPr>
      </w:r>
    </w:p>
    <w:p>
      <w:pPr>
        <w:pStyle w:val="BodyText"/>
        <w:rPr>
          <w:b/>
        </w:rPr>
      </w:pPr>
      <w:r>
        <w:rPr>
          <w:b/>
        </w:rPr>
      </w:r>
    </w:p>
    <w:p>
      <w:pPr>
        <w:pStyle w:val="Normal"/>
        <w:tabs>
          <w:tab w:val="clear" w:pos="720"/>
          <w:tab w:val="left" w:pos="747" w:leader="none"/>
        </w:tabs>
        <w:spacing w:lineRule="auto" w:line="360"/>
        <w:rPr>
          <w:kern w:val="2"/>
          <w:sz w:val="24"/>
          <w14:ligatures w14:val="standardContextual"/>
        </w:rPr>
      </w:pPr>
      <w:r>
        <w:rPr>
          <w:kern w:val="2"/>
          <w:sz w:val="24"/>
          <w14:ligatures w14:val="standardContextual"/>
        </w:rPr>
      </w:r>
    </w:p>
    <w:p>
      <w:pPr>
        <w:pStyle w:val="BodyText"/>
        <w:spacing w:lineRule="auto" w:line="360"/>
        <w:rPr>
          <w:sz w:val="28"/>
        </w:rPr>
      </w:pPr>
      <w:r>
        <w:rPr>
          <w:sz w:val="28"/>
        </w:rPr>
      </w:r>
    </w:p>
    <w:p>
      <w:pPr>
        <w:pStyle w:val="Normal"/>
        <w:rPr>
          <w:sz w:val="17"/>
        </w:rPr>
      </w:pPr>
      <w:r>
        <w:rPr>
          <w:sz w:val="17"/>
        </w:rPr>
      </w:r>
    </w:p>
    <w:p>
      <w:pPr>
        <w:pStyle w:val="Normal"/>
        <w:rPr>
          <w:sz w:val="17"/>
        </w:rPr>
      </w:pPr>
      <w:r>
        <w:rPr>
          <w:sz w:val="17"/>
        </w:rPr>
      </w:r>
      <w:r>
        <w:br w:type="page"/>
      </w:r>
    </w:p>
    <w:p>
      <w:pPr>
        <w:pStyle w:val="Normal"/>
        <w:spacing w:before="0" w:after="0"/>
        <w:rPr>
          <w:sz w:val="17"/>
        </w:rPr>
      </w:pPr>
      <w:r>
        <w:rPr>
          <w:sz w:val="17"/>
        </w:rPr>
      </w:r>
    </w:p>
    <w:p>
      <w:pPr>
        <w:pStyle w:val="Normal"/>
        <w:pBdr>
          <w:top w:val="single" w:sz="4" w:space="1" w:color="000000"/>
        </w:pBdr>
        <w:rPr>
          <w:sz w:val="24"/>
          <w:szCs w:val="24"/>
        </w:rPr>
      </w:pPr>
      <w:r>
        <w:rPr>
          <w:sz w:val="24"/>
          <w:szCs w:val="24"/>
        </w:rPr>
      </w:r>
    </w:p>
    <w:p>
      <w:pPr>
        <w:pStyle w:val="AppendixHeading"/>
        <w:rPr/>
      </w:pPr>
      <w:bookmarkStart w:id="71" w:name="__RefHeading___Toc19465_3782221355"/>
      <w:bookmarkStart w:id="72" w:name="_Toc198551003"/>
      <w:bookmarkEnd w:id="71"/>
      <w:r>
        <w:rPr/>
        <w:t>Appendix A</w:t>
      </w:r>
      <w:bookmarkEnd w:id="72"/>
    </w:p>
    <w:p>
      <w:pPr>
        <w:pStyle w:val="Normal"/>
        <w:pBdr>
          <w:bottom w:val="single" w:sz="4" w:space="1" w:color="000000"/>
        </w:pBdr>
        <w:rPr>
          <w:sz w:val="24"/>
          <w:szCs w:val="24"/>
        </w:rPr>
      </w:pPr>
      <w:r>
        <w:rPr>
          <w:sz w:val="24"/>
          <w:szCs w:val="24"/>
        </w:rPr>
      </w:r>
    </w:p>
    <w:p>
      <w:pPr>
        <w:pStyle w:val="BodyText"/>
        <w:rPr>
          <w:b/>
          <w:sz w:val="20"/>
        </w:rPr>
      </w:pPr>
      <w:r>
        <w:rPr>
          <w:b/>
          <w:sz w:val="20"/>
        </w:rPr>
      </w:r>
    </w:p>
    <w:p>
      <w:pPr>
        <w:pStyle w:val="AppendixTitle"/>
        <w:rPr/>
      </w:pPr>
      <w:bookmarkStart w:id="73" w:name="__RefHeading___Toc19467_3782221355"/>
      <w:bookmarkStart w:id="74" w:name="_Toc198551004"/>
      <w:bookmarkEnd w:id="73"/>
      <w:r>
        <w:rPr/>
        <w:t>S</w:t>
      </w:r>
      <w:bookmarkEnd w:id="74"/>
      <w:r>
        <w:rPr/>
        <w:t>emantic Priming of Humanisation Ethics Approval</w:t>
      </w:r>
    </w:p>
    <w:p>
      <w:pPr>
        <w:pStyle w:val="BodyText"/>
        <w:rPr/>
      </w:pPr>
      <w:r>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rPr>
          <w:sz w:val="20"/>
        </w:rPr>
      </w:pPr>
      <w:r>
        <w:rPr>
          <w:sz w:val="20"/>
        </w:rPr>
      </w:r>
    </w:p>
    <w:p>
      <w:pPr>
        <w:pStyle w:val="Normal"/>
        <w:rPr>
          <w:sz w:val="20"/>
          <w:szCs w:val="24"/>
        </w:rPr>
      </w:pPr>
      <w:r>
        <w:rPr>
          <w:sz w:val="20"/>
          <w:szCs w:val="24"/>
        </w:rPr>
      </w:r>
      <w:r>
        <w:br w:type="page"/>
      </w:r>
    </w:p>
    <w:p>
      <w:pPr>
        <w:pStyle w:val="BodyText"/>
        <w:spacing w:before="0" w:after="0"/>
        <w:rPr>
          <w:sz w:val="20"/>
        </w:rPr>
      </w:pPr>
      <w:r>
        <w:rPr>
          <w:sz w:val="20"/>
        </w:rPr>
      </w:r>
    </w:p>
    <w:p>
      <w:pPr>
        <w:pStyle w:val="Normal"/>
        <w:pBdr>
          <w:top w:val="single" w:sz="4" w:space="1" w:color="000000"/>
        </w:pBdr>
        <w:rPr>
          <w:sz w:val="24"/>
          <w:szCs w:val="24"/>
        </w:rPr>
      </w:pPr>
      <w:r>
        <w:rPr>
          <w:sz w:val="24"/>
          <w:szCs w:val="24"/>
        </w:rPr>
      </w:r>
    </w:p>
    <w:p>
      <w:pPr>
        <w:pStyle w:val="AppendixHeading"/>
        <w:rPr/>
      </w:pPr>
      <w:bookmarkStart w:id="75" w:name="__RefHeading___Toc19469_3782221355"/>
      <w:bookmarkStart w:id="76" w:name="_Toc198551005"/>
      <w:bookmarkEnd w:id="75"/>
      <w:r>
        <w:rPr/>
        <w:t>Appendix B</w:t>
      </w:r>
      <w:bookmarkEnd w:id="76"/>
    </w:p>
    <w:p>
      <w:pPr>
        <w:pStyle w:val="Normal"/>
        <w:pBdr>
          <w:bottom w:val="single" w:sz="4" w:space="1" w:color="000000"/>
        </w:pBdr>
        <w:rPr>
          <w:sz w:val="24"/>
          <w:szCs w:val="24"/>
        </w:rPr>
      </w:pPr>
      <w:r>
        <w:rPr>
          <w:sz w:val="24"/>
          <w:szCs w:val="24"/>
        </w:rPr>
      </w:r>
    </w:p>
    <w:p>
      <w:pPr>
        <w:pStyle w:val="BodyText"/>
        <w:rPr>
          <w:b/>
          <w:sz w:val="20"/>
        </w:rPr>
      </w:pPr>
      <w:r>
        <w:rPr>
          <w:b/>
          <w:sz w:val="20"/>
        </w:rPr>
      </w:r>
    </w:p>
    <w:p>
      <w:pPr>
        <w:pStyle w:val="AppendixTitle"/>
        <w:rPr/>
      </w:pPr>
      <w:bookmarkStart w:id="77" w:name="__RefHeading___Toc19471_3782221355"/>
      <w:bookmarkStart w:id="78" w:name="_Toc198551006"/>
      <w:bookmarkEnd w:id="77"/>
      <w:r>
        <w:rPr/>
        <w:t>R</w:t>
      </w:r>
      <w:bookmarkEnd w:id="78"/>
      <w:r>
        <w:rPr/>
        <w:t>obot-oriented Altruism Part I Ethics Approval</w:t>
      </w:r>
    </w:p>
    <w:p>
      <w:pPr>
        <w:pStyle w:val="BodyText"/>
        <w:rPr/>
      </w:pPr>
      <w:r>
        <w:rPr/>
      </w:r>
    </w:p>
    <w:p>
      <w:pPr>
        <w:pStyle w:val="BodyText"/>
        <w:rPr/>
      </w:pPr>
      <w:r>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lineRule="auto" w:line="360"/>
        <w:rPr/>
      </w:pPr>
      <w:r>
        <w:rPr/>
      </w:r>
      <w:r>
        <w:br w:type="page"/>
      </w:r>
    </w:p>
    <w:p>
      <w:pPr>
        <w:pStyle w:val="Normal"/>
        <w:pBdr>
          <w:top w:val="single" w:sz="4" w:space="1" w:color="000000"/>
        </w:pBdr>
        <w:spacing w:before="0" w:after="0"/>
        <w:rPr>
          <w:sz w:val="24"/>
          <w:szCs w:val="24"/>
        </w:rPr>
      </w:pPr>
      <w:r>
        <w:rPr>
          <w:sz w:val="24"/>
          <w:szCs w:val="24"/>
        </w:rPr>
      </w:r>
    </w:p>
    <w:p>
      <w:pPr>
        <w:pStyle w:val="AppendixHeading"/>
        <w:rPr/>
      </w:pPr>
      <w:bookmarkStart w:id="79" w:name="__RefHeading___Toc19469_3782221355_Copy_"/>
      <w:bookmarkStart w:id="80" w:name="_Toc198551005_Copy_1"/>
      <w:bookmarkEnd w:id="79"/>
      <w:r>
        <w:rPr/>
        <w:t xml:space="preserve">Appendix </w:t>
      </w:r>
      <w:bookmarkEnd w:id="80"/>
      <w:r>
        <w:rPr/>
        <w:t>C</w:t>
      </w:r>
    </w:p>
    <w:p>
      <w:pPr>
        <w:pStyle w:val="Normal"/>
        <w:pBdr>
          <w:bottom w:val="single" w:sz="4" w:space="1" w:color="000000"/>
        </w:pBdr>
        <w:rPr>
          <w:sz w:val="24"/>
          <w:szCs w:val="24"/>
        </w:rPr>
      </w:pPr>
      <w:r>
        <w:rPr>
          <w:sz w:val="24"/>
          <w:szCs w:val="24"/>
        </w:rPr>
      </w:r>
    </w:p>
    <w:p>
      <w:pPr>
        <w:pStyle w:val="BodyText"/>
        <w:rPr>
          <w:b/>
          <w:sz w:val="20"/>
        </w:rPr>
      </w:pPr>
      <w:r>
        <w:rPr>
          <w:b/>
          <w:sz w:val="20"/>
        </w:rPr>
      </w:r>
    </w:p>
    <w:p>
      <w:pPr>
        <w:pStyle w:val="AppendixTitle"/>
        <w:rPr/>
      </w:pPr>
      <w:bookmarkStart w:id="81" w:name="__RefHeading___Toc19471_3782221355_Copy_"/>
      <w:bookmarkEnd w:id="81"/>
      <w:r>
        <w:rPr/>
        <w:t>System Prompt for Zeke the Robot</w:t>
      </w:r>
    </w:p>
    <w:p>
      <w:pPr>
        <w:pStyle w:val="BodyText"/>
        <w:rPr/>
      </w:pPr>
      <w:r>
        <w:rPr/>
      </w:r>
    </w:p>
    <w:p>
      <w:pPr>
        <w:pStyle w:val="BodyText"/>
        <w:rPr/>
      </w:pPr>
      <w:r>
        <w:rPr/>
      </w:r>
    </w:p>
    <w:p>
      <w:pPr>
        <w:pStyle w:val="BodyText"/>
        <w:spacing w:lineRule="auto" w:line="36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rPr>
          <w:kern w:val="2"/>
          <w:sz w:val="24"/>
          <w14:ligatures w14:val="standardContextual"/>
        </w:rPr>
      </w:pPr>
      <w:r>
        <w:rPr>
          <w:kern w:val="2"/>
          <w:sz w:val="24"/>
          <w14:ligatures w14:val="standardContextual"/>
        </w:rPr>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134" w:right="1134" w:gutter="0" w:header="72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Times">
    <w:altName w:val="Times New Roman"/>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2130694951"/>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sdt>
                    <w:sdtPr>
                      <w:docPartObj>
                        <w:docPartGallery w:val="Page Numbers (Bottom of Page)"/>
                        <w:docPartUnique w:val="true"/>
                      </w:docPartObj>
                      <w:id w:val="-2130694951"/>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02539935"/>
    </w:sdtPr>
    <w:sdtContent>
      <w:p>
        <w:pPr>
          <w:pStyle w:val="Footer"/>
          <w:jc w:val="center"/>
          <w:rPr/>
        </w:pPr>
        <w:r>
          <w:rPr/>
          <w:fldChar w:fldCharType="begin"/>
        </w:r>
        <w:r>
          <w:rPr/>
          <w:instrText xml:space="preserve"> PAGE </w:instrText>
        </w:r>
        <w:r>
          <w:rPr/>
          <w:fldChar w:fldCharType="separate"/>
        </w:r>
        <w:r>
          <w:rPr/>
          <w:t>ii</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02539935"/>
    </w:sdtPr>
    <w:sdtContent>
      <w:p>
        <w:pPr>
          <w:pStyle w:val="Footer"/>
          <w:jc w:val="center"/>
          <w:rPr/>
        </w:pPr>
        <w:r>
          <w:rPr/>
          <w:fldChar w:fldCharType="begin"/>
        </w:r>
        <w:r>
          <w:rPr/>
          <w:instrText xml:space="preserve"> PAGE </w:instrText>
        </w:r>
        <w:r>
          <w:rPr/>
          <w:fldChar w:fldCharType="separate"/>
        </w:r>
        <w:r>
          <w:rPr/>
          <w:t>xvi</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02539935"/>
    </w:sdtPr>
    <w:sdtContent>
      <w:p>
        <w:pPr>
          <w:pStyle w:val="Footer"/>
          <w:jc w:val="center"/>
          <w:rPr/>
        </w:pPr>
        <w:r>
          <w:rPr/>
          <w:fldChar w:fldCharType="begin"/>
        </w:r>
        <w:r>
          <w:rPr/>
          <w:instrText xml:space="preserve"> PAGE </w:instrText>
        </w:r>
        <w:r>
          <w:rPr/>
          <w:fldChar w:fldCharType="separate"/>
        </w:r>
        <w:r>
          <w:rPr/>
          <w:t>xvi</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06408982"/>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06408982"/>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Chapter %1"/>
      <w:lvlJc w:val="start"/>
      <w:pPr>
        <w:tabs>
          <w:tab w:val="num" w:pos="0"/>
        </w:tabs>
        <w:ind w:start="500" w:hanging="500"/>
      </w:pPr>
      <w:rPr/>
    </w:lvl>
    <w:lvl w:ilvl="1">
      <w:start w:val="1"/>
      <w:pStyle w:val="Heading2"/>
      <w:numFmt w:val="decimal"/>
      <w:lvlText w:val="%1.%2"/>
      <w:lvlJc w:val="start"/>
      <w:pPr>
        <w:tabs>
          <w:tab w:val="num" w:pos="0"/>
        </w:tabs>
        <w:ind w:start="720" w:hanging="720"/>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1080" w:hanging="1080"/>
      </w:pPr>
      <w:rPr/>
    </w:lvl>
    <w:lvl w:ilvl="4">
      <w:start w:val="1"/>
      <w:pStyle w:val="Heading5"/>
      <w:numFmt w:val="decimal"/>
      <w:lvlText w:val="%1.%2.%3.%4.%5"/>
      <w:lvlJc w:val="start"/>
      <w:pPr>
        <w:tabs>
          <w:tab w:val="num" w:pos="0"/>
        </w:tabs>
        <w:ind w:start="1440" w:hanging="1440"/>
      </w:pPr>
      <w:rPr/>
    </w:lvl>
    <w:lvl w:ilvl="5">
      <w:start w:val="1"/>
      <w:pStyle w:val="Heading6"/>
      <w:numFmt w:val="decimal"/>
      <w:lvlText w:val="%1.%2.%3.%4.%5.%6"/>
      <w:lvlJc w:val="start"/>
      <w:pPr>
        <w:tabs>
          <w:tab w:val="num" w:pos="0"/>
        </w:tabs>
        <w:ind w:start="1800" w:hanging="1800"/>
      </w:pPr>
      <w:rPr/>
    </w:lvl>
    <w:lvl w:ilvl="6">
      <w:start w:val="1"/>
      <w:pStyle w:val="Heading7"/>
      <w:numFmt w:val="decimal"/>
      <w:lvlText w:val="%1.%2.%3.%4.%5.%6.%7"/>
      <w:lvlJc w:val="start"/>
      <w:pPr>
        <w:tabs>
          <w:tab w:val="num" w:pos="0"/>
        </w:tabs>
        <w:ind w:start="1800" w:hanging="1800"/>
      </w:pPr>
      <w:rPr/>
    </w:lvl>
    <w:lvl w:ilvl="7">
      <w:start w:val="1"/>
      <w:pStyle w:val="Heading8"/>
      <w:numFmt w:val="decimal"/>
      <w:lvlText w:val="%1.%2.%3.%4.%5.%6.%7.%8"/>
      <w:lvlJc w:val="start"/>
      <w:pPr>
        <w:tabs>
          <w:tab w:val="num" w:pos="0"/>
        </w:tabs>
        <w:ind w:start="2160" w:hanging="2160"/>
      </w:pPr>
      <w:rPr/>
    </w:lvl>
    <w:lvl w:ilvl="8">
      <w:start w:val="1"/>
      <w:pStyle w:val="Heading9"/>
      <w:numFmt w:val="decimal"/>
      <w:lvlText w:val="%1.%2.%3.%4.%5.%6.%7.%8.%9"/>
      <w:lvlJc w:val="start"/>
      <w:pPr>
        <w:tabs>
          <w:tab w:val="num" w:pos="0"/>
        </w:tabs>
        <w:ind w:start="2520" w:hanging="2520"/>
      </w:pPr>
      <w:rPr/>
    </w:lvl>
  </w:abstractNum>
  <w:abstractNum w:abstractNumId="2">
    <w:lvl w:ilvl="0">
      <w:start w:val="1"/>
      <w:numFmt w:val="decimal"/>
      <w:lvlText w:val="%1."/>
      <w:lvlJc w:val="start"/>
      <w:pPr>
        <w:tabs>
          <w:tab w:val="num" w:pos="0"/>
        </w:tabs>
        <w:ind w:start="297" w:hanging="297"/>
      </w:pPr>
      <w:rPr>
        <w:sz w:val="24"/>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start"/>
      <w:pPr>
        <w:tabs>
          <w:tab w:val="num" w:pos="0"/>
        </w:tabs>
        <w:ind w:start="1215" w:hanging="297"/>
      </w:pPr>
      <w:rPr>
        <w:rFonts w:ascii="Symbol" w:hAnsi="Symbol" w:cs="Symbol" w:hint="default"/>
        <w:lang w:val="en-US" w:eastAsia="en-US" w:bidi="ar-SA"/>
      </w:rPr>
    </w:lvl>
    <w:lvl w:ilvl="2">
      <w:start w:val="0"/>
      <w:numFmt w:val="bullet"/>
      <w:lvlText w:val=""/>
      <w:lvlJc w:val="start"/>
      <w:pPr>
        <w:tabs>
          <w:tab w:val="num" w:pos="0"/>
        </w:tabs>
        <w:ind w:start="2140" w:hanging="297"/>
      </w:pPr>
      <w:rPr>
        <w:rFonts w:ascii="Symbol" w:hAnsi="Symbol" w:cs="Symbol" w:hint="default"/>
        <w:lang w:val="en-US" w:eastAsia="en-US" w:bidi="ar-SA"/>
      </w:rPr>
    </w:lvl>
    <w:lvl w:ilvl="3">
      <w:start w:val="0"/>
      <w:numFmt w:val="bullet"/>
      <w:lvlText w:val=""/>
      <w:lvlJc w:val="start"/>
      <w:pPr>
        <w:tabs>
          <w:tab w:val="num" w:pos="0"/>
        </w:tabs>
        <w:ind w:start="3064" w:hanging="297"/>
      </w:pPr>
      <w:rPr>
        <w:rFonts w:ascii="Symbol" w:hAnsi="Symbol" w:cs="Symbol" w:hint="default"/>
        <w:lang w:val="en-US" w:eastAsia="en-US" w:bidi="ar-SA"/>
      </w:rPr>
    </w:lvl>
    <w:lvl w:ilvl="4">
      <w:start w:val="0"/>
      <w:numFmt w:val="bullet"/>
      <w:lvlText w:val=""/>
      <w:lvlJc w:val="start"/>
      <w:pPr>
        <w:tabs>
          <w:tab w:val="num" w:pos="0"/>
        </w:tabs>
        <w:ind w:start="3989" w:hanging="297"/>
      </w:pPr>
      <w:rPr>
        <w:rFonts w:ascii="Symbol" w:hAnsi="Symbol" w:cs="Symbol" w:hint="default"/>
        <w:lang w:val="en-US" w:eastAsia="en-US" w:bidi="ar-SA"/>
      </w:rPr>
    </w:lvl>
    <w:lvl w:ilvl="5">
      <w:start w:val="0"/>
      <w:numFmt w:val="bullet"/>
      <w:lvlText w:val=""/>
      <w:lvlJc w:val="start"/>
      <w:pPr>
        <w:tabs>
          <w:tab w:val="num" w:pos="0"/>
        </w:tabs>
        <w:ind w:start="4913" w:hanging="297"/>
      </w:pPr>
      <w:rPr>
        <w:rFonts w:ascii="Symbol" w:hAnsi="Symbol" w:cs="Symbol" w:hint="default"/>
        <w:lang w:val="en-US" w:eastAsia="en-US" w:bidi="ar-SA"/>
      </w:rPr>
    </w:lvl>
    <w:lvl w:ilvl="6">
      <w:start w:val="0"/>
      <w:numFmt w:val="bullet"/>
      <w:lvlText w:val=""/>
      <w:lvlJc w:val="start"/>
      <w:pPr>
        <w:tabs>
          <w:tab w:val="num" w:pos="0"/>
        </w:tabs>
        <w:ind w:start="5838" w:hanging="297"/>
      </w:pPr>
      <w:rPr>
        <w:rFonts w:ascii="Symbol" w:hAnsi="Symbol" w:cs="Symbol" w:hint="default"/>
        <w:lang w:val="en-US" w:eastAsia="en-US" w:bidi="ar-SA"/>
      </w:rPr>
    </w:lvl>
    <w:lvl w:ilvl="7">
      <w:start w:val="0"/>
      <w:numFmt w:val="bullet"/>
      <w:lvlText w:val=""/>
      <w:lvlJc w:val="start"/>
      <w:pPr>
        <w:tabs>
          <w:tab w:val="num" w:pos="0"/>
        </w:tabs>
        <w:ind w:start="6762" w:hanging="297"/>
      </w:pPr>
      <w:rPr>
        <w:rFonts w:ascii="Symbol" w:hAnsi="Symbol" w:cs="Symbol" w:hint="default"/>
        <w:lang w:val="en-US" w:eastAsia="en-US" w:bidi="ar-SA"/>
      </w:rPr>
    </w:lvl>
    <w:lvl w:ilvl="8">
      <w:start w:val="0"/>
      <w:numFmt w:val="bullet"/>
      <w:lvlText w:val=""/>
      <w:lvlJc w:val="start"/>
      <w:pPr>
        <w:tabs>
          <w:tab w:val="num" w:pos="0"/>
        </w:tabs>
        <w:ind w:start="7687" w:hanging="297"/>
      </w:pPr>
      <w:rPr>
        <w:rFonts w:ascii="Symbol" w:hAnsi="Symbol" w:cs="Symbol" w:hint="default"/>
        <w:lang w:val="en-US" w:eastAsia="en-US" w:bidi="ar-SA"/>
      </w:rPr>
    </w:lvl>
  </w:abstractNum>
  <w:abstractNum w:abstractNumId="3">
    <w:lvl w:ilvl="0">
      <w:start w:val="3"/>
      <w:numFmt w:val="bullet"/>
      <w:lvlText w:val="•"/>
      <w:lvlJc w:val="start"/>
      <w:pPr>
        <w:tabs>
          <w:tab w:val="num" w:pos="0"/>
        </w:tabs>
        <w:ind w:start="360" w:hanging="360"/>
      </w:pPr>
      <w:rPr>
        <w:rFonts w:ascii="Times New Roman" w:hAnsi="Times New Roman" w:cs="Times New Roman"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decimal"/>
      <w:lvlText w:val="%1."/>
      <w:lvlJc w:val="start"/>
      <w:pPr>
        <w:tabs>
          <w:tab w:val="num" w:pos="0"/>
        </w:tabs>
        <w:ind w:start="365" w:hanging="360"/>
      </w:pPr>
      <w:rPr/>
    </w:lvl>
    <w:lvl w:ilvl="1">
      <w:start w:val="1"/>
      <w:numFmt w:val="lowerLetter"/>
      <w:lvlText w:val="%2."/>
      <w:lvlJc w:val="start"/>
      <w:pPr>
        <w:tabs>
          <w:tab w:val="num" w:pos="0"/>
        </w:tabs>
        <w:ind w:start="1085" w:hanging="360"/>
      </w:pPr>
      <w:rPr/>
    </w:lvl>
    <w:lvl w:ilvl="2">
      <w:start w:val="1"/>
      <w:numFmt w:val="lowerRoman"/>
      <w:lvlText w:val="%3."/>
      <w:lvlJc w:val="end"/>
      <w:pPr>
        <w:tabs>
          <w:tab w:val="num" w:pos="0"/>
        </w:tabs>
        <w:ind w:start="1805" w:hanging="180"/>
      </w:pPr>
      <w:rPr/>
    </w:lvl>
    <w:lvl w:ilvl="3">
      <w:start w:val="1"/>
      <w:numFmt w:val="decimal"/>
      <w:lvlText w:val="%4."/>
      <w:lvlJc w:val="start"/>
      <w:pPr>
        <w:tabs>
          <w:tab w:val="num" w:pos="0"/>
        </w:tabs>
        <w:ind w:start="2525" w:hanging="360"/>
      </w:pPr>
      <w:rPr/>
    </w:lvl>
    <w:lvl w:ilvl="4">
      <w:start w:val="1"/>
      <w:numFmt w:val="lowerLetter"/>
      <w:lvlText w:val="%5."/>
      <w:lvlJc w:val="start"/>
      <w:pPr>
        <w:tabs>
          <w:tab w:val="num" w:pos="0"/>
        </w:tabs>
        <w:ind w:start="3245" w:hanging="360"/>
      </w:pPr>
      <w:rPr/>
    </w:lvl>
    <w:lvl w:ilvl="5">
      <w:start w:val="1"/>
      <w:numFmt w:val="lowerRoman"/>
      <w:lvlText w:val="%6."/>
      <w:lvlJc w:val="end"/>
      <w:pPr>
        <w:tabs>
          <w:tab w:val="num" w:pos="0"/>
        </w:tabs>
        <w:ind w:start="3965" w:hanging="180"/>
      </w:pPr>
      <w:rPr/>
    </w:lvl>
    <w:lvl w:ilvl="6">
      <w:start w:val="1"/>
      <w:numFmt w:val="decimal"/>
      <w:lvlText w:val="%7."/>
      <w:lvlJc w:val="start"/>
      <w:pPr>
        <w:tabs>
          <w:tab w:val="num" w:pos="0"/>
        </w:tabs>
        <w:ind w:start="4685" w:hanging="360"/>
      </w:pPr>
      <w:rPr/>
    </w:lvl>
    <w:lvl w:ilvl="7">
      <w:start w:val="1"/>
      <w:numFmt w:val="lowerLetter"/>
      <w:lvlText w:val="%8."/>
      <w:lvlJc w:val="start"/>
      <w:pPr>
        <w:tabs>
          <w:tab w:val="num" w:pos="0"/>
        </w:tabs>
        <w:ind w:start="5405" w:hanging="360"/>
      </w:pPr>
      <w:rPr/>
    </w:lvl>
    <w:lvl w:ilvl="8">
      <w:start w:val="1"/>
      <w:numFmt w:val="lowerRoman"/>
      <w:lvlText w:val="%9."/>
      <w:lvlJc w:val="end"/>
      <w:pPr>
        <w:tabs>
          <w:tab w:val="num" w:pos="0"/>
        </w:tabs>
        <w:ind w:start="6125" w:hanging="18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520"/>
        </w:tabs>
        <w:ind w:start="2520" w:hanging="360"/>
      </w:pPr>
      <w:rPr/>
    </w:lvl>
    <w:lvl w:ilvl="4">
      <w:start w:val="1"/>
      <w:numFmt w:val="decimal"/>
      <w:lvlText w:val="%5."/>
      <w:lvlJc w:val="start"/>
      <w:pPr>
        <w:tabs>
          <w:tab w:val="num" w:pos="3240"/>
        </w:tabs>
        <w:ind w:start="3240" w:hanging="360"/>
      </w:pPr>
      <w:rPr/>
    </w:lvl>
    <w:lvl w:ilvl="5">
      <w:start w:val="1"/>
      <w:numFmt w:val="decimal"/>
      <w:lvlText w:val="%6."/>
      <w:lvlJc w:val="start"/>
      <w:pPr>
        <w:tabs>
          <w:tab w:val="num" w:pos="3960"/>
        </w:tabs>
        <w:ind w:start="3960" w:hanging="360"/>
      </w:pPr>
      <w:rPr/>
    </w:lvl>
    <w:lvl w:ilvl="6">
      <w:start w:val="1"/>
      <w:numFmt w:val="decimal"/>
      <w:lvlText w:val="%7."/>
      <w:lvlJc w:val="start"/>
      <w:pPr>
        <w:tabs>
          <w:tab w:val="num" w:pos="4680"/>
        </w:tabs>
        <w:ind w:start="4680" w:hanging="360"/>
      </w:pPr>
      <w:rPr/>
    </w:lvl>
    <w:lvl w:ilvl="7">
      <w:start w:val="1"/>
      <w:numFmt w:val="decimal"/>
      <w:lvlText w:val="%8."/>
      <w:lvlJc w:val="start"/>
      <w:pPr>
        <w:tabs>
          <w:tab w:val="num" w:pos="5400"/>
        </w:tabs>
        <w:ind w:start="5400" w:hanging="360"/>
      </w:pPr>
      <w:rPr/>
    </w:lvl>
    <w:lvl w:ilvl="8">
      <w:start w:val="1"/>
      <w:numFmt w:val="decimal"/>
      <w:lvlText w:val="%9."/>
      <w:lvlJc w:val="start"/>
      <w:pPr>
        <w:tabs>
          <w:tab w:val="num" w:pos="6120"/>
        </w:tabs>
        <w:ind w:start="6120" w:hanging="360"/>
      </w:pPr>
      <w:rPr/>
    </w:lvl>
  </w:abstractNum>
  <w:abstractNum w:abstractNumId="6">
    <w:lvl w:ilvl="0">
      <w:numFmt w:val="bullet"/>
      <w:lvlText w:val="•"/>
      <w:lvlJc w:val="start"/>
      <w:pPr>
        <w:tabs>
          <w:tab w:val="num" w:pos="0"/>
        </w:tabs>
        <w:ind w:start="720" w:hanging="360"/>
      </w:pPr>
      <w:rPr>
        <w:rFonts w:ascii="Aptos" w:hAnsi="Aptos" w:cs="Aptos" w:hint="default"/>
        <w:rFonts w:cstheme="minorBidi" w:eastAsiaTheme="minorHAnsi"/>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suff w:val="nothing"/>
      <w:lvlText w:val="Chapter %1"/>
      <w:lvlJc w:val="start"/>
      <w:pPr>
        <w:tabs>
          <w:tab w:val="num" w:pos="0"/>
        </w:tabs>
        <w:ind w:start="500" w:hanging="50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800" w:hanging="180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520" w:hanging="25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95"/>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AU" w:eastAsia="en-US" w:bidi="ar-SA"/>
    </w:rPr>
  </w:style>
  <w:style w:type="paragraph" w:styleId="Heading1">
    <w:name w:val="heading 1"/>
    <w:basedOn w:val="Normal"/>
    <w:uiPriority w:val="9"/>
    <w:qFormat/>
    <w:rsid w:val="00d966d8"/>
    <w:pPr>
      <w:numPr>
        <w:ilvl w:val="0"/>
        <w:numId w:val="1"/>
      </w:numPr>
      <w:outlineLvl w:val="0"/>
    </w:pPr>
    <w:rPr>
      <w:b/>
      <w:bCs/>
      <w:sz w:val="49"/>
      <w:szCs w:val="49"/>
    </w:rPr>
  </w:style>
  <w:style w:type="paragraph" w:styleId="Heading2">
    <w:name w:val="heading 2"/>
    <w:basedOn w:val="Normal"/>
    <w:uiPriority w:val="9"/>
    <w:unhideWhenUsed/>
    <w:qFormat/>
    <w:rsid w:val="00ea7dca"/>
    <w:pPr>
      <w:numPr>
        <w:ilvl w:val="1"/>
        <w:numId w:val="1"/>
      </w:numPr>
      <w:tabs>
        <w:tab w:val="clear" w:pos="720"/>
        <w:tab w:val="left" w:pos="709" w:leader="none"/>
      </w:tabs>
      <w:spacing w:before="240" w:after="0"/>
      <w:outlineLvl w:val="1"/>
    </w:pPr>
    <w:rPr>
      <w:b/>
      <w:bCs/>
      <w:sz w:val="34"/>
      <w:szCs w:val="34"/>
    </w:rPr>
  </w:style>
  <w:style w:type="paragraph" w:styleId="Heading3">
    <w:name w:val="heading 3"/>
    <w:basedOn w:val="Normal"/>
    <w:uiPriority w:val="9"/>
    <w:unhideWhenUsed/>
    <w:qFormat/>
    <w:rsid w:val="00ea7dca"/>
    <w:pPr>
      <w:numPr>
        <w:ilvl w:val="2"/>
        <w:numId w:val="1"/>
      </w:numPr>
      <w:spacing w:lineRule="auto" w:line="480" w:before="0" w:after="0"/>
      <w:ind w:hanging="0" w:start="0"/>
      <w:outlineLvl w:val="2"/>
    </w:pPr>
    <w:rPr>
      <w:b/>
      <w:bCs/>
      <w:sz w:val="28"/>
      <w:szCs w:val="28"/>
    </w:rPr>
  </w:style>
  <w:style w:type="paragraph" w:styleId="Heading4">
    <w:name w:val="heading 4"/>
    <w:basedOn w:val="Normal"/>
    <w:uiPriority w:val="9"/>
    <w:unhideWhenUsed/>
    <w:qFormat/>
    <w:pPr>
      <w:numPr>
        <w:ilvl w:val="3"/>
        <w:numId w:val="1"/>
      </w:numPr>
      <w:outlineLvl w:val="3"/>
    </w:pPr>
    <w:rPr>
      <w:b/>
      <w:bCs/>
      <w:sz w:val="24"/>
      <w:szCs w:val="24"/>
    </w:rPr>
  </w:style>
  <w:style w:type="paragraph" w:styleId="Heading5">
    <w:name w:val="heading 5"/>
    <w:basedOn w:val="Normal"/>
    <w:next w:val="Normal"/>
    <w:link w:val="Heading5Char"/>
    <w:uiPriority w:val="9"/>
    <w:semiHidden/>
    <w:unhideWhenUsed/>
    <w:qFormat/>
    <w:rsid w:val="006a236f"/>
    <w:pPr>
      <w:keepNext w:val="true"/>
      <w:keepLines/>
      <w:numPr>
        <w:ilvl w:val="4"/>
        <w:numId w:val="1"/>
      </w:numPr>
      <w:spacing w:before="40" w:after="0"/>
      <w:outlineLvl w:val="4"/>
    </w:pPr>
    <w:rPr>
      <w:rFonts w:ascii="Cambria" w:hAnsi="Cambria" w:eastAsia="" w:cs="" w:asciiTheme="majorHAnsi" w:cstheme="majorBidi" w:eastAsiaTheme="majorEastAsia" w:hAnsiTheme="majorHAnsi"/>
      <w:color w:themeColor="accent1" w:themeShade="bf" w:val="365F91"/>
    </w:rPr>
  </w:style>
  <w:style w:type="paragraph" w:styleId="Heading6">
    <w:name w:val="heading 6"/>
    <w:basedOn w:val="Normal"/>
    <w:next w:val="Normal"/>
    <w:link w:val="Heading6Char"/>
    <w:uiPriority w:val="9"/>
    <w:semiHidden/>
    <w:unhideWhenUsed/>
    <w:qFormat/>
    <w:rsid w:val="006a236f"/>
    <w:pPr>
      <w:keepNext w:val="true"/>
      <w:keepLines/>
      <w:numPr>
        <w:ilvl w:val="5"/>
        <w:numId w:val="1"/>
      </w:numPr>
      <w:spacing w:before="40" w:after="0"/>
      <w:outlineLvl w:val="5"/>
    </w:pPr>
    <w:rPr>
      <w:rFonts w:ascii="Cambria" w:hAnsi="Cambria" w:eastAsia="" w:cs="" w:asciiTheme="majorHAnsi" w:cstheme="majorBidi" w:eastAsiaTheme="majorEastAsia" w:hAnsiTheme="majorHAnsi"/>
      <w:color w:themeColor="accent1" w:themeShade="7f" w:val="243F60"/>
    </w:rPr>
  </w:style>
  <w:style w:type="paragraph" w:styleId="Heading7">
    <w:name w:val="heading 7"/>
    <w:basedOn w:val="Normal"/>
    <w:next w:val="Normal"/>
    <w:link w:val="Heading7Char"/>
    <w:uiPriority w:val="9"/>
    <w:semiHidden/>
    <w:unhideWhenUsed/>
    <w:qFormat/>
    <w:rsid w:val="006a236f"/>
    <w:pPr>
      <w:keepNext w:val="true"/>
      <w:keepLines/>
      <w:numPr>
        <w:ilvl w:val="6"/>
        <w:numId w:val="1"/>
      </w:numPr>
      <w:spacing w:before="40" w:after="0"/>
      <w:outlineLvl w:val="6"/>
    </w:pPr>
    <w:rPr>
      <w:rFonts w:ascii="Cambria" w:hAnsi="Cambria" w:eastAsia="" w:cs="" w:asciiTheme="majorHAnsi" w:cstheme="majorBidi" w:eastAsiaTheme="majorEastAsia" w:hAnsiTheme="majorHAnsi"/>
      <w:i/>
      <w:iCs/>
      <w:color w:themeColor="accent1" w:themeShade="7f" w:val="243F60"/>
    </w:rPr>
  </w:style>
  <w:style w:type="paragraph" w:styleId="Heading8">
    <w:name w:val="heading 8"/>
    <w:basedOn w:val="Normal"/>
    <w:next w:val="Normal"/>
    <w:link w:val="Heading8Char"/>
    <w:uiPriority w:val="9"/>
    <w:semiHidden/>
    <w:unhideWhenUsed/>
    <w:qFormat/>
    <w:rsid w:val="006a236f"/>
    <w:pPr>
      <w:keepNext w:val="true"/>
      <w:keepLines/>
      <w:numPr>
        <w:ilvl w:val="7"/>
        <w:numId w:val="1"/>
      </w:numPr>
      <w:spacing w:before="40" w:after="0"/>
      <w:outlineLvl w:val="7"/>
    </w:pPr>
    <w:rPr>
      <w:rFonts w:ascii="Cambria" w:hAnsi="Cambria"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6a236f"/>
    <w:pPr>
      <w:keepNext w:val="true"/>
      <w:keepLines/>
      <w:numPr>
        <w:ilvl w:val="8"/>
        <w:numId w:val="1"/>
      </w:numPr>
      <w:spacing w:before="40" w:after="0"/>
      <w:outlineLvl w:val="8"/>
    </w:pPr>
    <w:rPr>
      <w:rFonts w:ascii="Cambria" w:hAnsi="Cambria"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210708"/>
    <w:rPr>
      <w:color w:themeColor="hyperlink" w:val="0000FF"/>
      <w:u w:val="single"/>
    </w:rPr>
  </w:style>
  <w:style w:type="character" w:styleId="UnresolvedMention">
    <w:name w:val="Unresolved Mention"/>
    <w:basedOn w:val="DefaultParagraphFont"/>
    <w:uiPriority w:val="99"/>
    <w:semiHidden/>
    <w:unhideWhenUsed/>
    <w:qFormat/>
    <w:rsid w:val="00210708"/>
    <w:rPr>
      <w:color w:val="605E5C"/>
      <w:shd w:fill="E1DFDD" w:val="clear"/>
    </w:rPr>
  </w:style>
  <w:style w:type="character" w:styleId="FollowedHyperlink">
    <w:name w:val="FollowedHyperlink"/>
    <w:basedOn w:val="DefaultParagraphFont"/>
    <w:uiPriority w:val="99"/>
    <w:semiHidden/>
    <w:unhideWhenUsed/>
    <w:rsid w:val="00210708"/>
    <w:rPr>
      <w:color w:themeColor="followedHyperlink" w:val="800080"/>
      <w:u w:val="single"/>
    </w:rPr>
  </w:style>
  <w:style w:type="character" w:styleId="HeaderChar" w:customStyle="1">
    <w:name w:val="Header Char"/>
    <w:basedOn w:val="DefaultParagraphFont"/>
    <w:link w:val="Header"/>
    <w:uiPriority w:val="99"/>
    <w:qFormat/>
    <w:rsid w:val="007a03b0"/>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7a03b0"/>
    <w:rPr>
      <w:rFonts w:ascii="Times New Roman" w:hAnsi="Times New Roman" w:eastAsia="Times New Roman" w:cs="Times New Roman"/>
    </w:rPr>
  </w:style>
  <w:style w:type="character" w:styleId="BodyTextChar" w:customStyle="1">
    <w:name w:val="Body Text Char"/>
    <w:basedOn w:val="DefaultParagraphFont"/>
    <w:uiPriority w:val="1"/>
    <w:qFormat/>
    <w:rsid w:val="002e7013"/>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qFormat/>
    <w:rsid w:val="00f27a0b"/>
    <w:rPr>
      <w:sz w:val="16"/>
      <w:szCs w:val="16"/>
    </w:rPr>
  </w:style>
  <w:style w:type="character" w:styleId="CommentTextChar" w:customStyle="1">
    <w:name w:val="Comment Text Char"/>
    <w:basedOn w:val="DefaultParagraphFont"/>
    <w:link w:val="CommentText"/>
    <w:uiPriority w:val="99"/>
    <w:qFormat/>
    <w:rsid w:val="00f27a0b"/>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f27a0b"/>
    <w:rPr>
      <w:rFonts w:ascii="Times New Roman" w:hAnsi="Times New Roman" w:eastAsia="Times New Roman" w:cs="Times New Roman"/>
      <w:b/>
      <w:bCs/>
      <w:sz w:val="20"/>
      <w:szCs w:val="20"/>
    </w:rPr>
  </w:style>
  <w:style w:type="character" w:styleId="apple-converted-space" w:customStyle="1">
    <w:name w:val="apple-converted-space"/>
    <w:basedOn w:val="DefaultParagraphFont"/>
    <w:qFormat/>
    <w:rsid w:val="000f62e7"/>
    <w:rPr/>
  </w:style>
  <w:style w:type="character" w:styleId="Heading5Char" w:customStyle="1">
    <w:name w:val="Heading 5 Char"/>
    <w:basedOn w:val="DefaultParagraphFont"/>
    <w:link w:val="Heading5"/>
    <w:uiPriority w:val="9"/>
    <w:semiHidden/>
    <w:qFormat/>
    <w:rsid w:val="006a236f"/>
    <w:rPr>
      <w:rFonts w:ascii="Cambria" w:hAnsi="Cambria" w:eastAsia="" w:cs="" w:asciiTheme="majorHAnsi" w:cstheme="majorBidi" w:eastAsiaTheme="majorEastAsia" w:hAnsiTheme="majorHAnsi"/>
      <w:color w:themeColor="accent1" w:themeShade="bf" w:val="365F91"/>
    </w:rPr>
  </w:style>
  <w:style w:type="character" w:styleId="Heading6Char" w:customStyle="1">
    <w:name w:val="Heading 6 Char"/>
    <w:basedOn w:val="DefaultParagraphFont"/>
    <w:link w:val="Heading6"/>
    <w:uiPriority w:val="9"/>
    <w:semiHidden/>
    <w:qFormat/>
    <w:rsid w:val="006a236f"/>
    <w:rPr>
      <w:rFonts w:ascii="Cambria" w:hAnsi="Cambria" w:eastAsia="" w:cs="" w:asciiTheme="majorHAnsi" w:cstheme="majorBidi" w:eastAsiaTheme="majorEastAsia" w:hAnsiTheme="majorHAnsi"/>
      <w:color w:themeColor="accent1" w:themeShade="7f" w:val="243F60"/>
    </w:rPr>
  </w:style>
  <w:style w:type="character" w:styleId="Heading7Char" w:customStyle="1">
    <w:name w:val="Heading 7 Char"/>
    <w:basedOn w:val="DefaultParagraphFont"/>
    <w:link w:val="Heading7"/>
    <w:uiPriority w:val="9"/>
    <w:semiHidden/>
    <w:qFormat/>
    <w:rsid w:val="006a236f"/>
    <w:rPr>
      <w:rFonts w:ascii="Cambria" w:hAnsi="Cambria" w:eastAsia="" w:cs="" w:asciiTheme="majorHAnsi" w:cstheme="majorBidi" w:eastAsiaTheme="majorEastAsia" w:hAnsiTheme="majorHAnsi"/>
      <w:i/>
      <w:iCs/>
      <w:color w:themeColor="accent1" w:themeShade="7f" w:val="243F60"/>
    </w:rPr>
  </w:style>
  <w:style w:type="character" w:styleId="Heading8Char" w:customStyle="1">
    <w:name w:val="Heading 8 Char"/>
    <w:basedOn w:val="DefaultParagraphFont"/>
    <w:link w:val="Heading8"/>
    <w:uiPriority w:val="9"/>
    <w:semiHidden/>
    <w:qFormat/>
    <w:rsid w:val="006a236f"/>
    <w:rPr>
      <w:rFonts w:ascii="Cambria" w:hAnsi="Cambria"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6a236f"/>
    <w:rPr>
      <w:rFonts w:ascii="Cambria" w:hAnsi="Cambria" w:eastAsia="" w:cs="" w:asciiTheme="majorHAnsi" w:cstheme="majorBidi" w:eastAsiaTheme="majorEastAsia" w:hAnsiTheme="majorHAnsi"/>
      <w:i/>
      <w:iCs/>
      <w:color w:themeColor="text1" w:themeTint="d8" w:val="272727"/>
      <w:sz w:val="21"/>
      <w:szCs w:val="21"/>
    </w:rPr>
  </w:style>
  <w:style w:type="character" w:styleId="TitleChar" w:customStyle="1">
    <w:name w:val="Title Char"/>
    <w:basedOn w:val="DefaultParagraphFont"/>
    <w:link w:val="Title"/>
    <w:uiPriority w:val="10"/>
    <w:qFormat/>
    <w:rsid w:val="00fc7966"/>
    <w:rPr>
      <w:rFonts w:ascii="Times New Roman" w:hAnsi="Times New Roman" w:eastAsia="" w:cs="Times New Roman" w:eastAsiaTheme="majorEastAsia"/>
      <w:b/>
      <w:bCs/>
      <w:spacing w:val="-10"/>
      <w:kern w:val="2"/>
      <w:sz w:val="48"/>
      <w:szCs w:val="48"/>
      <w:lang w:val="en-AU"/>
    </w:rPr>
  </w:style>
  <w:style w:type="character" w:styleId="PageNumber">
    <w:name w:val="page number"/>
    <w:basedOn w:val="DefaultParagraphFont"/>
    <w:uiPriority w:val="99"/>
    <w:semiHidden/>
    <w:unhideWhenUsed/>
    <w:rsid w:val="00bd13a8"/>
    <w:rPr/>
  </w:style>
  <w:style w:type="character" w:styleId="AppendixTitleChar" w:customStyle="1">
    <w:name w:val="Appendix Title Char"/>
    <w:basedOn w:val="DefaultParagraphFont"/>
    <w:link w:val="AppendixTitle"/>
    <w:qFormat/>
    <w:rsid w:val="009d5f7a"/>
    <w:rPr>
      <w:rFonts w:ascii="Times New Roman" w:hAnsi="Times New Roman" w:eastAsia="Times New Roman" w:cs="Times New Roman"/>
      <w:b/>
      <w:sz w:val="34"/>
      <w:lang w:val="en-AU"/>
    </w:rPr>
  </w:style>
  <w:style w:type="character" w:styleId="AppendixHeadingChar" w:customStyle="1">
    <w:name w:val="Appendix Heading Char"/>
    <w:basedOn w:val="DefaultParagraphFont"/>
    <w:link w:val="AppendixHeading"/>
    <w:qFormat/>
    <w:rsid w:val="009d5f7a"/>
    <w:rPr>
      <w:rFonts w:ascii="Times New Roman" w:hAnsi="Times New Roman" w:eastAsia="Times New Roman" w:cs="Times New Roman"/>
      <w:b/>
      <w:sz w:val="48"/>
      <w:lang w:val="en-AU"/>
    </w:rPr>
  </w:style>
  <w:style w:type="character" w:styleId="ThesisTitlesChar" w:customStyle="1">
    <w:name w:val="Thesis Titles Char"/>
    <w:basedOn w:val="DefaultParagraphFont"/>
    <w:link w:val="ThesisTitles"/>
    <w:qFormat/>
    <w:rsid w:val="009337d1"/>
    <w:rPr>
      <w:rFonts w:ascii="Times New Roman" w:hAnsi="Times New Roman" w:eastAsia="Times New Roman" w:cs="Times New Roman"/>
      <w:b/>
      <w:bCs/>
      <w:sz w:val="36"/>
      <w:szCs w:val="49"/>
      <w:lang w:val="en-AU"/>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Arial" w:hAnsi="Arial" w:eastAsia="Arial Unicode MS" w:cs="Lucida Sans"/>
      <w:sz w:val="28"/>
      <w:szCs w:val="28"/>
    </w:rPr>
  </w:style>
  <w:style w:type="paragraph" w:styleId="BodyText">
    <w:name w:val="Body Text"/>
    <w:basedOn w:val="Normal"/>
    <w:link w:val="BodyTextChar"/>
    <w:uiPriority w:val="1"/>
    <w:qFormat/>
    <w:pPr>
      <w:spacing w:lineRule="auto" w:line="480"/>
    </w:pPr>
    <w:rPr>
      <w:sz w:val="24"/>
      <w:szCs w:val="24"/>
    </w:rPr>
  </w:style>
  <w:style w:type="paragraph" w:styleId="List">
    <w:name w:val="List"/>
    <w:basedOn w:val="BodyText"/>
    <w:pPr/>
    <w:rPr>
      <w:rFonts w:ascii="Arial" w:hAnsi="Arial" w:cs="Lucida Sans"/>
    </w:rPr>
  </w:style>
  <w:style w:type="paragraph" w:styleId="Caption">
    <w:name w:val="caption"/>
    <w:basedOn w:val="Normal"/>
    <w:next w:val="Normal"/>
    <w:uiPriority w:val="35"/>
    <w:unhideWhenUsed/>
    <w:qFormat/>
    <w:rsid w:val="006a236f"/>
    <w:pPr>
      <w:spacing w:before="0" w:after="200"/>
      <w:jc w:val="center"/>
    </w:pPr>
    <w:rPr>
      <w:i/>
      <w:iCs/>
      <w:color w:themeColor="text1" w:val="000000"/>
      <w:sz w:val="24"/>
      <w:szCs w:val="24"/>
    </w:rPr>
  </w:style>
  <w:style w:type="paragraph" w:styleId="Index">
    <w:name w:val="Index"/>
    <w:basedOn w:val="Normal"/>
    <w:qFormat/>
    <w:pPr>
      <w:suppressLineNumbers/>
    </w:pPr>
    <w:rPr>
      <w:rFonts w:ascii="Arial" w:hAnsi="Arial" w:cs="Lucida Sans"/>
    </w:rPr>
  </w:style>
  <w:style w:type="paragraph" w:styleId="ListParagraph">
    <w:name w:val="List Paragraph"/>
    <w:basedOn w:val="Normal"/>
    <w:uiPriority w:val="1"/>
    <w:qFormat/>
    <w:pPr>
      <w:ind w:hanging="396" w:start="746"/>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a03b0"/>
    <w:pPr>
      <w:tabs>
        <w:tab w:val="clear" w:pos="720"/>
        <w:tab w:val="center" w:pos="4513" w:leader="none"/>
        <w:tab w:val="right" w:pos="9026" w:leader="none"/>
      </w:tabs>
    </w:pPr>
    <w:rPr/>
  </w:style>
  <w:style w:type="paragraph" w:styleId="Footer">
    <w:name w:val="footer"/>
    <w:basedOn w:val="Normal"/>
    <w:link w:val="FooterChar"/>
    <w:uiPriority w:val="99"/>
    <w:unhideWhenUsed/>
    <w:rsid w:val="007a03b0"/>
    <w:pPr>
      <w:tabs>
        <w:tab w:val="clear" w:pos="720"/>
        <w:tab w:val="center" w:pos="4513" w:leader="none"/>
        <w:tab w:val="right" w:pos="9026" w:leader="none"/>
      </w:tabs>
    </w:pPr>
    <w:rPr/>
  </w:style>
  <w:style w:type="paragraph" w:styleId="Revision">
    <w:name w:val="Revision"/>
    <w:uiPriority w:val="99"/>
    <w:semiHidden/>
    <w:qFormat/>
    <w:rsid w:val="002e7013"/>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NormalWeb">
    <w:name w:val="Normal (Web)"/>
    <w:basedOn w:val="Normal"/>
    <w:uiPriority w:val="99"/>
    <w:semiHidden/>
    <w:unhideWhenUsed/>
    <w:qFormat/>
    <w:rsid w:val="00662bc8"/>
    <w:pPr/>
    <w:rPr>
      <w:sz w:val="24"/>
      <w:szCs w:val="24"/>
    </w:rPr>
  </w:style>
  <w:style w:type="paragraph" w:styleId="CommentText">
    <w:name w:val="annotation text"/>
    <w:basedOn w:val="Normal"/>
    <w:link w:val="CommentTextChar"/>
    <w:uiPriority w:val="99"/>
    <w:unhideWhenUsed/>
    <w:rsid w:val="00f27a0b"/>
    <w:pPr/>
    <w:rPr>
      <w:sz w:val="20"/>
      <w:szCs w:val="20"/>
    </w:rPr>
  </w:style>
  <w:style w:type="paragraph" w:styleId="annotationsubject">
    <w:name w:val="annotation subject"/>
    <w:basedOn w:val="CommentText"/>
    <w:next w:val="CommentText"/>
    <w:link w:val="CommentSubjectChar"/>
    <w:uiPriority w:val="99"/>
    <w:semiHidden/>
    <w:unhideWhenUsed/>
    <w:qFormat/>
    <w:rsid w:val="00f27a0b"/>
    <w:pPr/>
    <w:rPr>
      <w:b/>
      <w:bCs/>
    </w:rPr>
  </w:style>
  <w:style w:type="paragraph" w:styleId="TOC1">
    <w:name w:val="toc 1"/>
    <w:basedOn w:val="Normal"/>
    <w:next w:val="Normal"/>
    <w:autoRedefine/>
    <w:uiPriority w:val="39"/>
    <w:unhideWhenUsed/>
    <w:rsid w:val="00b50835"/>
    <w:pPr>
      <w:tabs>
        <w:tab w:val="clear" w:pos="720"/>
        <w:tab w:val="right" w:pos="9980" w:leader="dot"/>
      </w:tabs>
      <w:spacing w:before="0" w:after="100"/>
    </w:pPr>
    <w:rPr/>
  </w:style>
  <w:style w:type="paragraph" w:styleId="TOC2">
    <w:name w:val="toc 2"/>
    <w:basedOn w:val="Normal"/>
    <w:next w:val="Normal"/>
    <w:autoRedefine/>
    <w:uiPriority w:val="39"/>
    <w:unhideWhenUsed/>
    <w:rsid w:val="006a236f"/>
    <w:pPr>
      <w:spacing w:before="0" w:after="100"/>
      <w:ind w:start="220"/>
    </w:pPr>
    <w:rPr/>
  </w:style>
  <w:style w:type="paragraph" w:styleId="TOC3">
    <w:name w:val="toc 3"/>
    <w:basedOn w:val="Normal"/>
    <w:next w:val="Normal"/>
    <w:autoRedefine/>
    <w:uiPriority w:val="39"/>
    <w:unhideWhenUsed/>
    <w:rsid w:val="006a236f"/>
    <w:pPr>
      <w:spacing w:before="0" w:after="100"/>
      <w:ind w:start="440"/>
    </w:pPr>
    <w:rPr/>
  </w:style>
  <w:style w:type="paragraph" w:styleId="TableofFigures">
    <w:name w:val="table of figures"/>
    <w:basedOn w:val="Normal"/>
    <w:next w:val="Normal"/>
    <w:uiPriority w:val="99"/>
    <w:unhideWhenUsed/>
    <w:rsid w:val="006a236f"/>
    <w:pPr/>
    <w:rPr/>
  </w:style>
  <w:style w:type="paragraph" w:styleId="Title">
    <w:name w:val="Title"/>
    <w:basedOn w:val="Normal"/>
    <w:next w:val="Normal"/>
    <w:link w:val="TitleChar"/>
    <w:uiPriority w:val="10"/>
    <w:qFormat/>
    <w:rsid w:val="00fc7966"/>
    <w:pPr>
      <w:spacing w:before="0" w:after="0"/>
      <w:contextualSpacing/>
      <w:jc w:val="center"/>
    </w:pPr>
    <w:rPr>
      <w:rFonts w:eastAsia="" w:eastAsiaTheme="majorEastAsia"/>
      <w:b/>
      <w:bCs/>
      <w:spacing w:val="-10"/>
      <w:kern w:val="2"/>
      <w:sz w:val="48"/>
      <w:szCs w:val="48"/>
    </w:rPr>
  </w:style>
  <w:style w:type="paragraph" w:styleId="AppendixTitle" w:customStyle="1">
    <w:name w:val="Appendix Title"/>
    <w:basedOn w:val="Normal"/>
    <w:link w:val="AppendixTitleChar"/>
    <w:qFormat/>
    <w:rsid w:val="009d5f7a"/>
    <w:pPr>
      <w:ind w:hanging="720" w:start="720"/>
      <w:outlineLvl w:val="1"/>
    </w:pPr>
    <w:rPr>
      <w:b/>
      <w:sz w:val="34"/>
    </w:rPr>
  </w:style>
  <w:style w:type="paragraph" w:styleId="AppendixHeading" w:customStyle="1">
    <w:name w:val="Appendix Heading"/>
    <w:basedOn w:val="Normal"/>
    <w:link w:val="AppendixHeadingChar"/>
    <w:qFormat/>
    <w:rsid w:val="009d5f7a"/>
    <w:pPr>
      <w:outlineLvl w:val="0"/>
    </w:pPr>
    <w:rPr>
      <w:b/>
      <w:sz w:val="48"/>
    </w:rPr>
  </w:style>
  <w:style w:type="paragraph" w:styleId="ThesisTitles" w:customStyle="1">
    <w:name w:val="Thesis Titles"/>
    <w:basedOn w:val="Normal"/>
    <w:next w:val="Normal"/>
    <w:link w:val="ThesisTitlesChar"/>
    <w:qFormat/>
    <w:rsid w:val="009337d1"/>
    <w:pPr>
      <w:outlineLvl w:val="0"/>
    </w:pPr>
    <w:rPr>
      <w:b/>
      <w:bCs/>
      <w:sz w:val="36"/>
      <w:szCs w:val="49"/>
    </w:rPr>
  </w:style>
  <w:style w:type="paragraph" w:styleId="FrameContentsuser">
    <w:name w:val="Frame Contents (user)"/>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d41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a236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policies.uq.edu.au/document/view-current.php?id=452" TargetMode="External"/><Relationship Id="rId9" Type="http://schemas.openxmlformats.org/officeDocument/2006/relationships/hyperlink" Target="https://guides.library.uq.edu.au/referencing" TargetMode="External"/><Relationship Id="rId10" Type="http://schemas.openxmlformats.org/officeDocument/2006/relationships/hyperlink" Target="https://guides.library.uq.edu.au/referencing" TargetMode="External"/><Relationship Id="rId11" Type="http://schemas.openxmlformats.org/officeDocument/2006/relationships/hyperlink" Target="../../../../../C:/Users/uqsdwive/Downloads/Authorship%20Procedure" TargetMode="External"/><Relationship Id="rId12" Type="http://schemas.openxmlformats.org/officeDocument/2006/relationships/hyperlink" Target="https://policies.uq.edu.au/document/view-current.php?id=248" TargetMode="External"/><Relationship Id="rId13" Type="http://schemas.openxmlformats.org/officeDocument/2006/relationships/hyperlink" Target="https://policies.uq.edu.au/document/view-current.php?id=377" TargetMode="External"/><Relationship Id="rId14" Type="http://schemas.openxmlformats.org/officeDocument/2006/relationships/hyperlink" Target="https://doi.org/10.82133/C42F-K220"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3.jpeg"/><Relationship Id="rId22" Type="http://schemas.openxmlformats.org/officeDocument/2006/relationships/image" Target="media/image3.jpeg"/><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Relationship Id="rId3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ac83ec6-6f47-45c8-8182-335b1d52a78e">
      <Terms xmlns="http://schemas.microsoft.com/office/infopath/2007/PartnerControls"/>
    </lcf76f155ced4ddcb4097134ff3c332f>
    <TaxCatchAll xmlns="275339dd-7a42-4708-9a3d-cb97ad4c617e" xsi:nil="true"/>
    <Statusofmaterial xmlns="eac83ec6-6f47-45c8-8182-335b1d52a78e" xsi:nil="true"/>
    <Comments xmlns="eac83ec6-6f47-45c8-8182-335b1d52a78e" xsi:nil="true"/>
    <Comment xmlns="eac83ec6-6f47-45c8-8182-335b1d52a78e" xsi:nil="true"/>
    <Software xmlns="eac83ec6-6f47-45c8-8182-335b1d52a78e" xsi:nil="true"/>
    <Author_x002f_Owner xmlns="eac83ec6-6f47-45c8-8182-335b1d52a78e">
      <UserInfo>
        <DisplayName/>
        <AccountId xsi:nil="true"/>
        <AccountType/>
      </UserInfo>
    </Author_x002f_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275CE17C4B3743AA83EC4533F09972" ma:contentTypeVersion="26" ma:contentTypeDescription="Create a new document." ma:contentTypeScope="" ma:versionID="3eb2eb60ea590786764c08d8a72870ee">
  <xsd:schema xmlns:xsd="http://www.w3.org/2001/XMLSchema" xmlns:xs="http://www.w3.org/2001/XMLSchema" xmlns:p="http://schemas.microsoft.com/office/2006/metadata/properties" xmlns:ns2="eac83ec6-6f47-45c8-8182-335b1d52a78e" xmlns:ns3="275339dd-7a42-4708-9a3d-cb97ad4c617e" targetNamespace="http://schemas.microsoft.com/office/2006/metadata/properties" ma:root="true" ma:fieldsID="e743be182bdbd35c41bb49800bc014bd" ns2:_="" ns3:_="">
    <xsd:import namespace="eac83ec6-6f47-45c8-8182-335b1d52a78e"/>
    <xsd:import namespace="275339dd-7a42-4708-9a3d-cb97ad4c617e"/>
    <xsd:element name="properties">
      <xsd:complexType>
        <xsd:sequence>
          <xsd:element name="documentManagement">
            <xsd:complexType>
              <xsd:all>
                <xsd:element ref="ns2:MediaServiceMetadata" minOccurs="0"/>
                <xsd:element ref="ns2:MediaServiceFastMetadata" minOccurs="0"/>
                <xsd:element ref="ns2:Software" minOccurs="0"/>
                <xsd:element ref="ns2:MediaServiceAutoKeyPoints" minOccurs="0"/>
                <xsd:element ref="ns2:MediaServiceKeyPoints" minOccurs="0"/>
                <xsd:element ref="ns2:Author_x002f_Owner" minOccurs="0"/>
                <xsd:element ref="ns3:SharedWithUsers" minOccurs="0"/>
                <xsd:element ref="ns3:SharedWithDetails" minOccurs="0"/>
                <xsd:element ref="ns2:Comment"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Comments" minOccurs="0"/>
                <xsd:element ref="ns2:MediaServiceSearchProperties" minOccurs="0"/>
                <xsd:element ref="ns2:Statusofmateri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83ec6-6f47-45c8-8182-335b1d52a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oftware" ma:index="10" nillable="true" ma:displayName="Category" ma:format="Dropdown" ma:indexed="true" ma:internalName="Software">
      <xsd:simpleType>
        <xsd:restriction base="dms:Choice">
          <xsd:enumeration value="Word"/>
          <xsd:enumeration value="Acrobat"/>
          <xsd:enumeration value="Excel"/>
          <xsd:enumeration value="Photoshop"/>
          <xsd:enumeration value="Illustrator"/>
          <xsd:enumeration value="InDesign"/>
          <xsd:enumeration value="NVivo"/>
          <xsd:enumeration value="Premiere Pro"/>
          <xsd:enumeration value="Kaltura"/>
          <xsd:enumeration value="Leximancer"/>
          <xsd:enumeration value="Qualtrics"/>
          <xsd:enumeration value="ePortfolio"/>
          <xsd:enumeration value="SPSS"/>
          <xsd:enumeration value="Voyant"/>
          <xsd:enumeration value="Teams"/>
          <xsd:enumeration value="R"/>
          <xsd:enumeration value="PowerPoint"/>
          <xsd:enumeration value="Audacity"/>
          <xsd:enumeration value="Git"/>
          <xsd:enumeration value="OSM"/>
          <xsd:enumeration value="OpenRefine"/>
          <xsd:enumeration value="Python"/>
          <xsd:enumeration value="GIS"/>
          <xsd:enumeration value="R"/>
          <xsd:enumeration value="Shell"/>
          <xsd:enumeration value="Toolbox"/>
          <xsd:enumeration value="3D"/>
          <xsd:enumeration value="Orientation"/>
          <xsd:enumeration value="Exams"/>
          <xsd:enumeration value="Tableau"/>
          <xsd:enumeration value="Unix"/>
          <xsd:enumeration value="GAI"/>
          <xsd:enumeration value="LaTeX"/>
          <xsd:enumeration value="Infographics"/>
          <xsd:enumeration value="Video"/>
          <xsd:enumeration value="Poster"/>
          <xsd:enumeration value="CDS"/>
          <xsd:enumeration value="Zoom"/>
          <xsd:enumeration value="SharePoint"/>
          <xsd:enumeration value="Teams"/>
          <xsd:enumeration value="Project"/>
          <xsd:enumeration value="Presentation"/>
          <xsd:enumeration value="Internal files"/>
          <xsd:enumeration value="Microsoft Project"/>
          <xsd:enumeration value="Microsoft Access"/>
          <xsd:enumeration value="Outlook"/>
        </xsd:restrictio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Author_x002f_Owner" ma:index="13" nillable="true" ma:displayName="Author/Owner" ma:format="Dropdown" ma:list="UserInfo" ma:SharePointGroup="0" ma:internalName="Author_x002f_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ment" ma:index="16" nillable="true" ma:displayName="Comment" ma:format="Dropdown" ma:internalName="Comment">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element name="Comments" ma:index="27" nillable="true" ma:displayName="Comments" ma:format="Dropdown" ma:internalName="Comments">
      <xsd:simpleType>
        <xsd:restriction base="dms:Note">
          <xsd:maxLength value="255"/>
        </xsd:restrictio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Statusofmaterial" ma:index="29" nillable="true" ma:displayName="Status of material" ma:format="Dropdown" ma:internalName="Statusofmaterial">
      <xsd:simpleType>
        <xsd:restriction base="dms:Choice">
          <xsd:enumeration value="Current"/>
          <xsd:enumeration value="In development"/>
          <xsd:enumeration value="Archived"/>
        </xsd:restriction>
      </xsd:simpleType>
    </xsd:element>
  </xsd:schema>
  <xsd:schema xmlns:xsd="http://www.w3.org/2001/XMLSchema" xmlns:xs="http://www.w3.org/2001/XMLSchema" xmlns:dms="http://schemas.microsoft.com/office/2006/documentManagement/types" xmlns:pc="http://schemas.microsoft.com/office/infopath/2007/PartnerControls" targetNamespace="275339dd-7a42-4708-9a3d-cb97ad4c617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de6dca8-fb60-4409-bdb4-0213917bc38a}" ma:internalName="TaxCatchAll" ma:showField="CatchAllData" ma:web="275339dd-7a42-4708-9a3d-cb97ad4c6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B49022-9B31-4BDC-A7D7-C5E6A9C34C23}">
  <ds:schemaRefs>
    <ds:schemaRef ds:uri="http://schemas.microsoft.com/office/2006/metadata/properties"/>
    <ds:schemaRef ds:uri="http://schemas.microsoft.com/office/infopath/2007/PartnerControls"/>
    <ds:schemaRef ds:uri="a75d8872-7c79-4a34-bacd-8f4e93fc41af"/>
    <ds:schemaRef ds:uri="81bf9afe-41ca-4495-85a2-0cce4a055ba4"/>
    <ds:schemaRef ds:uri="eac83ec6-6f47-45c8-8182-335b1d52a78e"/>
    <ds:schemaRef ds:uri="275339dd-7a42-4708-9a3d-cb97ad4c617e"/>
  </ds:schemaRefs>
</ds:datastoreItem>
</file>

<file path=customXml/itemProps2.xml><?xml version="1.0" encoding="utf-8"?>
<ds:datastoreItem xmlns:ds="http://schemas.openxmlformats.org/officeDocument/2006/customXml" ds:itemID="{E94CCF86-11A6-4296-9B61-32BCAF0C0970}">
  <ds:schemaRefs>
    <ds:schemaRef ds:uri="http://schemas.microsoft.com/sharepoint/v3/contenttype/forms"/>
  </ds:schemaRefs>
</ds:datastoreItem>
</file>

<file path=customXml/itemProps3.xml><?xml version="1.0" encoding="utf-8"?>
<ds:datastoreItem xmlns:ds="http://schemas.openxmlformats.org/officeDocument/2006/customXml" ds:itemID="{47850800-AB2C-409C-96C2-6E4BCE97A862}">
  <ds:schemaRefs>
    <ds:schemaRef ds:uri="http://schemas.openxmlformats.org/officeDocument/2006/bibliography"/>
  </ds:schemaRefs>
</ds:datastoreItem>
</file>

<file path=customXml/itemProps4.xml><?xml version="1.0" encoding="utf-8"?>
<ds:datastoreItem xmlns:ds="http://schemas.openxmlformats.org/officeDocument/2006/customXml" ds:itemID="{4E7120A8-59BA-4ADE-AD47-97F1F4732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83ec6-6f47-45c8-8182-335b1d52a78e"/>
    <ds:schemaRef ds:uri="275339dd-7a42-4708-9a3d-cb97ad4c6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145</TotalTime>
  <Application>LibreOffice/25.8.2.2$MacOSX_AARCH64 LibreOffice_project/d401f2107ccab8f924a8e2df40f573aab7605b6f</Application>
  <AppVersion>15.0000</AppVersion>
  <Pages>45</Pages>
  <Words>9128</Words>
  <Characters>51428</Characters>
  <CharactersWithSpaces>60221</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2026-02-18T23:36:00Z</dcterms:created>
  <dc:creator>Lauren Cunningham</dc:creator>
  <dc:description/>
  <dc:language>en-GB</dc:language>
  <cp:lastModifiedBy/>
  <dcterms:modified xsi:type="dcterms:W3CDTF">2026-07-27T15:14:07Z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0x010100B6275CE17C4B3743AA83EC4533F09972</vt:lpwstr>
  </property>
  <property fmtid="{D5CDD505-2E9C-101B-9397-08002B2CF9AE}" pid="3" name="Created">
    <vt:filetime>2021-06-16T00:00:00Z</vt:filetime>
  </property>
  <property fmtid="{D5CDD505-2E9C-101B-9397-08002B2CF9AE}" pid="4" name="Creator">
    <vt:lpwstr>LaTeX with hyperref</vt:lpwstr>
  </property>
  <property fmtid="{D5CDD505-2E9C-101B-9397-08002B2CF9AE}" pid="5" name="LastSaved">
    <vt:filetime>2022-07-04T00:00:00Z</vt:filetime>
  </property>
  <property fmtid="{D5CDD505-2E9C-101B-9397-08002B2CF9AE}" pid="6" name="MSIP_Label_0f488380-630a-4f55-a077-a19445e3f360_ActionId">
    <vt:lpwstr>237994b3-6006-463c-bf24-357a99225fe9</vt:lpwstr>
  </property>
  <property fmtid="{D5CDD505-2E9C-101B-9397-08002B2CF9AE}" pid="7" name="MSIP_Label_0f488380-630a-4f55-a077-a19445e3f360_ContentBits">
    <vt:lpwstr>0</vt:lpwstr>
  </property>
  <property fmtid="{D5CDD505-2E9C-101B-9397-08002B2CF9AE}" pid="8" name="MSIP_Label_0f488380-630a-4f55-a077-a19445e3f360_Enabled">
    <vt:lpwstr>true</vt:lpwstr>
  </property>
  <property fmtid="{D5CDD505-2E9C-101B-9397-08002B2CF9AE}" pid="9" name="MSIP_Label_0f488380-630a-4f55-a077-a19445e3f360_Method">
    <vt:lpwstr>Standard</vt:lpwstr>
  </property>
  <property fmtid="{D5CDD505-2E9C-101B-9397-08002B2CF9AE}" pid="10" name="MSIP_Label_0f488380-630a-4f55-a077-a19445e3f360_Name">
    <vt:lpwstr>OFFICIAL - INTERNAL</vt:lpwstr>
  </property>
  <property fmtid="{D5CDD505-2E9C-101B-9397-08002B2CF9AE}" pid="11" name="MSIP_Label_0f488380-630a-4f55-a077-a19445e3f360_SetDate">
    <vt:lpwstr>2022-07-18T00:05:57Z</vt:lpwstr>
  </property>
  <property fmtid="{D5CDD505-2E9C-101B-9397-08002B2CF9AE}" pid="12" name="MSIP_Label_0f488380-630a-4f55-a077-a19445e3f360_SiteId">
    <vt:lpwstr>b6e377cf-9db3-46cb-91a2-fad9605bb15c</vt:lpwstr>
  </property>
  <property fmtid="{D5CDD505-2E9C-101B-9397-08002B2CF9AE}" pid="13" name="MediaServiceImageTags">
    <vt:lpwstr/>
  </property>
  <property fmtid="{D5CDD505-2E9C-101B-9397-08002B2CF9AE}" pid="14" name="PTEX.Fullbanner">
    <vt:lpwstr>This is pdfTeX, Version 3.14159265-2.6-1.40.21 (TeX Live 2020) kpathsea version 6.3.2</vt:lpwstr>
  </property>
  <property fmtid="{D5CDD505-2E9C-101B-9397-08002B2CF9AE}" pid="15" name="Producer">
    <vt:lpwstr>pdfTeX-1.40.21</vt:lpwstr>
  </property>
</Properties>
</file>