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0B981"/>
          <w:sz w:val="96"/>
        </w:rPr>
        <w:t>4UNTER</w:t>
      </w:r>
    </w:p>
    <w:p>
      <w:pPr>
        <w:jc w:val="center"/>
      </w:pPr>
      <w:r>
        <w:rPr>
          <w:color w:val="3F3F46"/>
          <w:sz w:val="36"/>
        </w:rPr>
        <w:t>AI Lead Intelligence Platform</w:t>
      </w:r>
    </w:p>
    <w:p>
      <w:pPr>
        <w:jc w:val="center"/>
      </w:pPr>
      <w:r>
        <w:rPr>
          <w:color w:val="A1A1AA"/>
          <w:sz w:val="26"/>
        </w:rPr>
        <w:t>Built for the Kenyan B2B Market</w:t>
      </w:r>
    </w:p>
    <w:p/>
    <w:p>
      <w:pPr>
        <w:jc w:val="center"/>
      </w:pPr>
      <w:r>
        <w:rPr>
          <w:b/>
          <w:color w:val="18181B"/>
          <w:sz w:val="22"/>
        </w:rPr>
        <w:t>PRODUCT BLUEPRINT &amp; BUSINESS MODEL</w:t>
      </w:r>
    </w:p>
    <w:p/>
    <w:p>
      <w:pPr>
        <w:jc w:val="center"/>
      </w:pPr>
      <w:r>
        <w:rPr>
          <w:color w:val="A1A1AA"/>
          <w:sz w:val="20"/>
        </w:rPr>
        <w:t>Version 1.0  ·  May 2026</w:t>
      </w:r>
    </w:p>
    <w:p/>
    <w:p>
      <w:pPr>
        <w:jc w:val="center"/>
      </w:pPr>
      <w:r>
        <w:rPr>
          <w:color w:val="A1A1AA"/>
          <w:sz w:val="20"/>
        </w:rPr>
        <w:t>Dullu Digital  ·  hunter.dullugroup.co.ke</w:t>
      </w:r>
    </w:p>
    <w:p/>
    <w:p>
      <w:pPr>
        <w:spacing w:before="80" w:after="80"/>
      </w:pPr>
      <w:r>
        <w:rPr>
          <w:color w:val="A1A1AA"/>
          <w:sz w:val="14"/>
        </w:rPr>
        <w:t>────────────────────────────────────────────────────────────────────────────────</w:t>
      </w:r>
    </w:p>
    <w:p>
      <w:r>
        <w:br w:type="page"/>
      </w:r>
    </w:p>
    <w:p>
      <w:pPr>
        <w:spacing w:before="360" w:after="120"/>
      </w:pPr>
      <w:r>
        <w:rPr>
          <w:b/>
          <w:color w:val="10B981"/>
          <w:sz w:val="36"/>
        </w:rPr>
        <w:t>1. EXECUTIVE SUMMARY</w:t>
      </w:r>
    </w:p>
    <w:p>
      <w:pPr>
        <w:spacing w:after="80"/>
      </w:pPr>
      <w:r>
        <w:rPr>
          <w:color w:val="18181B"/>
          <w:sz w:val="20"/>
        </w:rPr>
        <w:t>4unter is a B2B lead intelligence SaaS platform built exclusively for the Kenyan market. It automates the entire prospecting workflow — discovering quality businesses from public databases, enriching each lead with website intelligence and contact data, scoring fit using proprietary AI, and generating personalised WhatsApp and email outreach copy. The full pipeline runs in under three minutes per 50 leads.</w:t>
      </w:r>
    </w:p>
    <w:p>
      <w:pPr>
        <w:spacing w:after="80"/>
      </w:pPr>
      <w:r>
        <w:rPr>
          <w:color w:val="18181B"/>
          <w:sz w:val="20"/>
        </w:rPr>
        <w:t>There is no direct SaaS competitor targeting Kenyan SMBs with AI-powered lead intelligence. Global tools (Apollo.io, Hunter.io, ZoomInfo) are USD-priced, North America–centric, and have no WhatsApp generation, no Google Maps scraping, and no understanding of the Kenyan market. 4unter fills a clear gap.</w:t>
      </w:r>
    </w:p>
    <w:p/>
    <w:tbl>
      <w:tblPr>
        <w:tblStyle w:val="TableGrid"/>
        <w:tblW w:type="auto" w:w="0"/>
        <w:tblLook w:firstColumn="1" w:firstRow="1" w:lastColumn="0" w:lastRow="0" w:noHBand="0" w:noVBand="1" w:val="04A0"/>
      </w:tblPr>
      <w:tblGrid>
        <w:gridCol w:w="4703"/>
        <w:gridCol w:w="4703"/>
      </w:tblGrid>
      <w:tr>
        <w:tc>
          <w:tcPr>
            <w:tcW w:type="dxa" w:w="3168"/>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Metric</w:t>
            </w:r>
          </w:p>
        </w:tc>
        <w:tc>
          <w:tcPr>
            <w:tcW w:type="dxa" w:w="5472"/>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Value</w:t>
            </w:r>
          </w:p>
        </w:tc>
      </w:tr>
      <w:tr>
        <w:tc>
          <w:tcPr>
            <w:tcW w:type="dxa" w:w="316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Target Market</w:t>
            </w:r>
          </w:p>
        </w:tc>
        <w:tc>
          <w:tcPr>
            <w:tcW w:type="dxa" w:w="547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Kenyan founders, sales leads, consultants, agencies</w:t>
            </w:r>
          </w:p>
        </w:tc>
      </w:tr>
      <w:tr>
        <w:tc>
          <w:tcPr>
            <w:tcW w:type="dxa" w:w="316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Verticals Covered</w:t>
            </w:r>
          </w:p>
        </w:tc>
        <w:tc>
          <w:tcPr>
            <w:tcW w:type="dxa" w:w="547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36 Kenyan B2B verticals (restaurants to legal firms)</w:t>
            </w:r>
          </w:p>
        </w:tc>
      </w:tr>
      <w:tr>
        <w:tc>
          <w:tcPr>
            <w:tcW w:type="dxa" w:w="316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AI Engine</w:t>
            </w:r>
          </w:p>
        </w:tc>
        <w:tc>
          <w:tcPr>
            <w:tcW w:type="dxa" w:w="547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Proprietary Hunter Intelligence (not disclosed publicly)</w:t>
            </w:r>
          </w:p>
        </w:tc>
      </w:tr>
      <w:tr>
        <w:tc>
          <w:tcPr>
            <w:tcW w:type="dxa" w:w="316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Infrastructure</w:t>
            </w:r>
          </w:p>
        </w:tc>
        <w:tc>
          <w:tcPr>
            <w:tcW w:type="dxa" w:w="547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Next.js 16 · Supabase · Vercel · Stripe</w:t>
            </w:r>
          </w:p>
        </w:tc>
      </w:tr>
      <w:tr>
        <w:tc>
          <w:tcPr>
            <w:tcW w:type="dxa" w:w="316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Monthly Infrastructure Cost (MVP)</w:t>
            </w:r>
          </w:p>
        </w:tc>
        <w:tc>
          <w:tcPr>
            <w:tcW w:type="dxa" w:w="547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~KES 7,060 (~$55)</w:t>
            </w:r>
          </w:p>
        </w:tc>
      </w:tr>
      <w:tr>
        <w:tc>
          <w:tcPr>
            <w:tcW w:type="dxa" w:w="316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Monthly Infrastructure Cost (100 users)</w:t>
            </w:r>
          </w:p>
        </w:tc>
        <w:tc>
          <w:tcPr>
            <w:tcW w:type="dxa" w:w="547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~KES 20,330 (~$157)</w:t>
            </w:r>
          </w:p>
        </w:tc>
      </w:tr>
      <w:tr>
        <w:tc>
          <w:tcPr>
            <w:tcW w:type="dxa" w:w="316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Time to Revenue Target (KES 40K/month)</w:t>
            </w:r>
          </w:p>
        </w:tc>
        <w:tc>
          <w:tcPr>
            <w:tcW w:type="dxa" w:w="547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15–27 paying accounts</w:t>
            </w:r>
          </w:p>
        </w:tc>
      </w:tr>
      <w:tr>
        <w:tc>
          <w:tcPr>
            <w:tcW w:type="dxa" w:w="316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Gross Margin (blended)</w:t>
            </w:r>
          </w:p>
        </w:tc>
        <w:tc>
          <w:tcPr>
            <w:tcW w:type="dxa" w:w="547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~75–92% depending on tier</w:t>
            </w:r>
          </w:p>
        </w:tc>
      </w:tr>
      <w:tr>
        <w:tc>
          <w:tcPr>
            <w:tcW w:type="dxa" w:w="316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Launch Date</w:t>
            </w:r>
          </w:p>
        </w:tc>
        <w:tc>
          <w:tcPr>
            <w:tcW w:type="dxa" w:w="547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Live — hunter.dullugroup.co.ke</w:t>
            </w:r>
          </w:p>
        </w:tc>
      </w:tr>
    </w:tbl>
    <w:p/>
    <w:p>
      <w:r>
        <w:br w:type="page"/>
      </w:r>
    </w:p>
    <w:p>
      <w:pPr>
        <w:spacing w:before="360" w:after="120"/>
      </w:pPr>
      <w:r>
        <w:rPr>
          <w:b/>
          <w:color w:val="10B981"/>
          <w:sz w:val="36"/>
        </w:rPr>
        <w:t>2. PRODUCT OVERVIEW</w:t>
      </w:r>
    </w:p>
    <w:p>
      <w:pPr>
        <w:spacing w:before="240" w:after="80"/>
      </w:pPr>
      <w:r>
        <w:rPr>
          <w:b/>
          <w:color w:val="18181B"/>
          <w:sz w:val="26"/>
          <w:u w:val="single"/>
        </w:rPr>
        <w:t>2.1  The Problem</w:t>
      </w:r>
    </w:p>
    <w:p>
      <w:pPr>
        <w:spacing w:after="80"/>
      </w:pPr>
      <w:r>
        <w:rPr>
          <w:color w:val="18181B"/>
          <w:sz w:val="20"/>
        </w:rPr>
        <w:t>Kenyan sales teams spend 70–80% of prospecting time on manual tasks: searching Google Maps, copying business details into spreadsheets, researching websites, and writing generic outreach messages that get ignored. No affordable tool automates this for the local market.</w:t>
      </w:r>
    </w:p>
    <w:p>
      <w:pPr>
        <w:spacing w:before="240" w:after="80"/>
      </w:pPr>
      <w:r>
        <w:rPr>
          <w:b/>
          <w:color w:val="18181B"/>
          <w:sz w:val="26"/>
          <w:u w:val="single"/>
        </w:rPr>
        <w:t>2.2  The Solution: The 4unter Pipeline</w:t>
      </w:r>
    </w:p>
    <w:tbl>
      <w:tblPr>
        <w:tblStyle w:val="TableGrid"/>
        <w:tblW w:type="auto" w:w="0"/>
        <w:tblLook w:firstColumn="1" w:firstRow="1" w:lastColumn="0" w:lastRow="0" w:noHBand="0" w:noVBand="1" w:val="04A0"/>
      </w:tblPr>
      <w:tblGrid>
        <w:gridCol w:w="3135"/>
        <w:gridCol w:w="3135"/>
        <w:gridCol w:w="3135"/>
      </w:tblGrid>
      <w:tr>
        <w:tc>
          <w:tcPr>
            <w:tcW w:type="dxa" w:w="1728"/>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Stage</w:t>
            </w:r>
          </w:p>
        </w:tc>
        <w:tc>
          <w:tcPr>
            <w:tcW w:type="dxa" w:w="5472"/>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What Happens</w:t>
            </w:r>
          </w:p>
        </w:tc>
        <w:tc>
          <w:tcPr>
            <w:tcW w:type="dxa" w:w="1728"/>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Time</w:t>
            </w:r>
          </w:p>
        </w:tc>
      </w:tr>
      <w:tr>
        <w:tc>
          <w:tcPr>
            <w:tcW w:type="dxa" w:w="172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01  DISCOVER</w:t>
            </w:r>
          </w:p>
        </w:tc>
        <w:tc>
          <w:tcPr>
            <w:tcW w:type="dxa" w:w="547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Scan 36 Kenyan verticals by city. Hunter's quality protocol filters for rated, reviewed businesses only — no spam, no irrelevant entries.</w:t>
            </w:r>
          </w:p>
        </w:tc>
        <w:tc>
          <w:tcPr>
            <w:tcW w:type="dxa" w:w="172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~2 min per 50 leads</w:t>
            </w:r>
          </w:p>
        </w:tc>
      </w:tr>
      <w:tr>
        <w:tc>
          <w:tcPr>
            <w:tcW w:type="dxa" w:w="172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02  ENRICH</w:t>
            </w:r>
          </w:p>
        </w:tc>
        <w:tc>
          <w:tcPr>
            <w:tcW w:type="dxa" w:w="547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Crawl each business website: extract emails, phone numbers, WhatsApp CTAs, booking systems, live chat, social profiles, tech stack, certifications, online payment capability.</w:t>
            </w:r>
          </w:p>
        </w:tc>
        <w:tc>
          <w:tcPr>
            <w:tcW w:type="dxa" w:w="172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~1 min per lead</w:t>
            </w:r>
          </w:p>
        </w:tc>
      </w:tr>
      <w:tr>
        <w:tc>
          <w:tcPr>
            <w:tcW w:type="dxa" w:w="172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03  SCORE</w:t>
            </w:r>
          </w:p>
        </w:tc>
        <w:tc>
          <w:tcPr>
            <w:tcW w:type="dxa" w:w="547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Hunter Intelligence rates every lead 0–100. Surfaces specific pain signals: missing booking system, no live chat, weak social presence. Calculates Opportunity Score.</w:t>
            </w:r>
          </w:p>
        </w:tc>
        <w:tc>
          <w:tcPr>
            <w:tcW w:type="dxa" w:w="172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~10 sec per lead</w:t>
            </w:r>
          </w:p>
        </w:tc>
      </w:tr>
      <w:tr>
        <w:tc>
          <w:tcPr>
            <w:tcW w:type="dxa" w:w="172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04  OUTREACH</w:t>
            </w:r>
          </w:p>
        </w:tc>
        <w:tc>
          <w:tcPr>
            <w:tcW w:type="dxa" w:w="547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Generate personalised WhatsApp opener and email copy — written with the lead's real pain, not a template. Ready to send in one click.</w:t>
            </w:r>
          </w:p>
        </w:tc>
        <w:tc>
          <w:tcPr>
            <w:tcW w:type="dxa" w:w="172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~5 sec per lead</w:t>
            </w:r>
          </w:p>
        </w:tc>
      </w:tr>
    </w:tbl>
    <w:p/>
    <w:p>
      <w:pPr>
        <w:spacing w:before="240" w:after="80"/>
      </w:pPr>
      <w:r>
        <w:rPr>
          <w:b/>
          <w:color w:val="18181B"/>
          <w:sz w:val="26"/>
          <w:u w:val="single"/>
        </w:rPr>
        <w:t>2.3  Data Sources</w:t>
      </w:r>
    </w:p>
    <w:p>
      <w:pPr>
        <w:spacing w:after="80"/>
      </w:pPr>
      <w:r>
        <w:rPr>
          <w:color w:val="18181B"/>
          <w:sz w:val="20"/>
        </w:rPr>
        <w:t>4unter pulls from multiple sources to maximise data quality while controlling cost:</w:t>
      </w:r>
    </w:p>
    <w:p>
      <w:pPr>
        <w:pStyle w:val="ListBullet"/>
        <w:spacing w:after="40"/>
        <w:ind w:left="432"/>
      </w:pPr>
      <w:r>
        <w:rPr>
          <w:color w:val="18181B"/>
          <w:sz w:val="20"/>
        </w:rPr>
        <w:t>Premium mapping database (rated, reviewed businesses with website + phone) — used for high-quality scrapes</w:t>
      </w:r>
    </w:p>
    <w:p>
      <w:pPr>
        <w:pStyle w:val="ListBullet"/>
        <w:spacing w:after="40"/>
        <w:ind w:left="432"/>
      </w:pPr>
      <w:r>
        <w:rPr>
          <w:color w:val="18181B"/>
          <w:sz w:val="20"/>
        </w:rPr>
        <w:t>Community geographic database (OpenStreetMap Overpass API) — free, no quota, used for bulk volume</w:t>
      </w:r>
    </w:p>
    <w:p>
      <w:pPr>
        <w:pStyle w:val="ListBullet"/>
        <w:spacing w:after="40"/>
        <w:ind w:left="432"/>
      </w:pPr>
      <w:r>
        <w:rPr>
          <w:color w:val="18181B"/>
          <w:sz w:val="20"/>
        </w:rPr>
        <w:t>Live website crawl — enrichment fetches each business's own website for contact data and signals</w:t>
      </w:r>
    </w:p>
    <w:p>
      <w:pPr>
        <w:pStyle w:val="ListBullet"/>
        <w:spacing w:after="40"/>
        <w:ind w:left="432"/>
      </w:pPr>
      <w:r>
        <w:rPr>
          <w:color w:val="18181B"/>
          <w:sz w:val="20"/>
        </w:rPr>
        <w:t>Social platform OG-tag intelligence — Instagram/Facebook/TikTok follower and activity signals</w:t>
      </w:r>
    </w:p>
    <w:p>
      <w:pPr>
        <w:pStyle w:val="ListBullet"/>
        <w:spacing w:after="40"/>
        <w:ind w:left="432"/>
      </w:pPr>
      <w:r>
        <w:rPr>
          <w:color w:val="18181B"/>
          <w:sz w:val="20"/>
        </w:rPr>
        <w:t>Kenya phone normalisation — E.164 normalisation for 07xx, +254, 020 formats</w:t>
      </w:r>
    </w:p>
    <w:p>
      <w:pPr>
        <w:spacing w:before="240" w:after="80"/>
      </w:pPr>
      <w:r>
        <w:rPr>
          <w:b/>
          <w:color w:val="18181B"/>
          <w:sz w:val="26"/>
          <w:u w:val="single"/>
        </w:rPr>
        <w:t>2.4  Quality Protocol</w:t>
      </w:r>
    </w:p>
    <w:p>
      <w:pPr>
        <w:spacing w:after="80"/>
      </w:pPr>
      <w:r>
        <w:rPr>
          <w:color w:val="18181B"/>
          <w:sz w:val="20"/>
        </w:rPr>
        <w:t>Every lead passes through a protocol filter before entering the database. The filter enforces:</w:t>
      </w:r>
    </w:p>
    <w:p>
      <w:pPr>
        <w:pStyle w:val="ListBullet"/>
        <w:spacing w:after="40"/>
        <w:ind w:left="432"/>
      </w:pPr>
      <w:r>
        <w:rPr>
          <w:color w:val="18181B"/>
          <w:sz w:val="20"/>
        </w:rPr>
        <w:t>Minimum Google rating (configurable per vertical — typically 3.5–4.0 stars)</w:t>
      </w:r>
    </w:p>
    <w:p>
      <w:pPr>
        <w:pStyle w:val="ListBullet"/>
        <w:spacing w:after="40"/>
        <w:ind w:left="432"/>
      </w:pPr>
      <w:r>
        <w:rPr>
          <w:color w:val="18181B"/>
          <w:sz w:val="20"/>
        </w:rPr>
        <w:t>Minimum review count (typically 10–30 reviews, vertical-specific)</w:t>
      </w:r>
    </w:p>
    <w:p>
      <w:pPr>
        <w:pStyle w:val="ListBullet"/>
        <w:spacing w:after="40"/>
        <w:ind w:left="432"/>
      </w:pPr>
      <w:r>
        <w:rPr>
          <w:color w:val="18181B"/>
          <w:sz w:val="20"/>
        </w:rPr>
        <w:t>Business name blocklist (removes chains, franchises, irrelevant categories)</w:t>
      </w:r>
    </w:p>
    <w:p>
      <w:pPr>
        <w:pStyle w:val="ListBullet"/>
        <w:spacing w:after="40"/>
        <w:ind w:left="432"/>
      </w:pPr>
      <w:r>
        <w:rPr>
          <w:color w:val="18181B"/>
          <w:sz w:val="20"/>
        </w:rPr>
        <w:t>Duplicate detection via (org_id, name) unique constraint</w:t>
      </w:r>
    </w:p>
    <w:p>
      <w:pPr>
        <w:pStyle w:val="ListBullet"/>
        <w:spacing w:after="40"/>
        <w:ind w:left="432"/>
      </w:pPr>
      <w:r>
        <w:rPr>
          <w:color w:val="18181B"/>
          <w:sz w:val="20"/>
        </w:rPr>
        <w:t>Honeypot and bot-detection on all public-facing forms</w:t>
      </w:r>
    </w:p>
    <w:p>
      <w:r>
        <w:br w:type="page"/>
      </w:r>
    </w:p>
    <w:p>
      <w:pPr>
        <w:spacing w:before="360" w:after="120"/>
      </w:pPr>
      <w:r>
        <w:rPr>
          <w:b/>
          <w:color w:val="10B981"/>
          <w:sz w:val="36"/>
        </w:rPr>
        <w:t>3. FEATURE SET</w:t>
      </w:r>
    </w:p>
    <w:p>
      <w:pPr>
        <w:spacing w:before="240" w:after="80"/>
      </w:pPr>
      <w:r>
        <w:rPr>
          <w:b/>
          <w:color w:val="18181B"/>
          <w:sz w:val="26"/>
          <w:u w:val="single"/>
        </w:rPr>
        <w:t>3.1  Lead Discovery</w:t>
      </w:r>
    </w:p>
    <w:p>
      <w:pPr>
        <w:pStyle w:val="ListBullet"/>
        <w:spacing w:after="40"/>
        <w:ind w:left="432"/>
      </w:pPr>
      <w:r>
        <w:rPr>
          <w:color w:val="18181B"/>
          <w:sz w:val="20"/>
        </w:rPr>
        <w:t>36 Kenyan B2B verticals (restaurants, beauty salons, law firms, hotels, clinics, schools, car dealers, etc.)</w:t>
      </w:r>
    </w:p>
    <w:p>
      <w:pPr>
        <w:pStyle w:val="ListBullet"/>
        <w:spacing w:after="40"/>
        <w:ind w:left="432"/>
      </w:pPr>
      <w:r>
        <w:rPr>
          <w:color w:val="18181B"/>
          <w:sz w:val="20"/>
        </w:rPr>
        <w:t>City-scoped searches across all major Kenyan cities</w:t>
      </w:r>
    </w:p>
    <w:p>
      <w:pPr>
        <w:pStyle w:val="ListBullet"/>
        <w:spacing w:after="40"/>
        <w:ind w:left="432"/>
      </w:pPr>
      <w:r>
        <w:rPr>
          <w:color w:val="18181B"/>
          <w:sz w:val="20"/>
        </w:rPr>
        <w:t>Dual-source: premium database (richer data) and community database (free, no quota)</w:t>
      </w:r>
    </w:p>
    <w:p>
      <w:pPr>
        <w:pStyle w:val="ListBullet"/>
        <w:spacing w:after="40"/>
        <w:ind w:left="432"/>
      </w:pPr>
      <w:r>
        <w:rPr>
          <w:color w:val="18181B"/>
          <w:sz w:val="20"/>
        </w:rPr>
        <w:t>Real-time scrape job tracking with progress bar</w:t>
      </w:r>
    </w:p>
    <w:p>
      <w:pPr>
        <w:pStyle w:val="ListBullet"/>
        <w:spacing w:after="40"/>
        <w:ind w:left="432"/>
      </w:pPr>
      <w:r>
        <w:rPr>
          <w:color w:val="18181B"/>
          <w:sz w:val="20"/>
        </w:rPr>
        <w:t>Automatic deduplication per workspace</w:t>
      </w:r>
    </w:p>
    <w:p>
      <w:pPr>
        <w:pStyle w:val="ListBullet"/>
        <w:spacing w:after="40"/>
        <w:ind w:left="432"/>
      </w:pPr>
      <w:r>
        <w:rPr>
          <w:color w:val="18181B"/>
          <w:sz w:val="20"/>
        </w:rPr>
        <w:t>Protocol-filtered output — quality leads only, not raw directory dumps</w:t>
      </w:r>
    </w:p>
    <w:p>
      <w:pPr>
        <w:spacing w:before="240" w:after="80"/>
      </w:pPr>
      <w:r>
        <w:rPr>
          <w:b/>
          <w:color w:val="18181B"/>
          <w:sz w:val="26"/>
          <w:u w:val="single"/>
        </w:rPr>
        <w:t>3.2  Lead Enrichment (v2)</w:t>
      </w:r>
    </w:p>
    <w:p>
      <w:pPr>
        <w:pStyle w:val="ListBullet"/>
        <w:spacing w:after="40"/>
        <w:ind w:left="432"/>
      </w:pPr>
      <w:r>
        <w:rPr>
          <w:color w:val="18181B"/>
          <w:sz w:val="20"/>
        </w:rPr>
        <w:t>Website crawl: email extraction, phone normalisation, booking system detection</w:t>
      </w:r>
    </w:p>
    <w:p>
      <w:pPr>
        <w:pStyle w:val="ListBullet"/>
        <w:spacing w:after="40"/>
        <w:ind w:left="432"/>
      </w:pPr>
      <w:r>
        <w:rPr>
          <w:color w:val="18181B"/>
          <w:sz w:val="20"/>
        </w:rPr>
        <w:t>Tech stack detection (WordPress, Shopify, Wix, custom dev)</w:t>
      </w:r>
    </w:p>
    <w:p>
      <w:pPr>
        <w:pStyle w:val="ListBullet"/>
        <w:spacing w:after="40"/>
        <w:ind w:left="432"/>
      </w:pPr>
      <w:r>
        <w:rPr>
          <w:color w:val="18181B"/>
          <w:sz w:val="20"/>
        </w:rPr>
        <w:t>Live chat detection (WhatsApp widget, Tidio, Intercom, etc.)</w:t>
      </w:r>
    </w:p>
    <w:p>
      <w:pPr>
        <w:pStyle w:val="ListBullet"/>
        <w:spacing w:after="40"/>
        <w:ind w:left="432"/>
      </w:pPr>
      <w:r>
        <w:rPr>
          <w:color w:val="18181B"/>
          <w:sz w:val="20"/>
        </w:rPr>
        <w:t>Social profiles: Instagram, Facebook, TikTok, YouTube follower/activity signals</w:t>
      </w:r>
    </w:p>
    <w:p>
      <w:pPr>
        <w:pStyle w:val="ListBullet"/>
        <w:spacing w:after="40"/>
        <w:ind w:left="432"/>
      </w:pPr>
      <w:r>
        <w:rPr>
          <w:color w:val="18181B"/>
          <w:sz w:val="20"/>
        </w:rPr>
        <w:t>Online payment capability detection</w:t>
      </w:r>
    </w:p>
    <w:p>
      <w:pPr>
        <w:pStyle w:val="ListBullet"/>
        <w:spacing w:after="40"/>
        <w:ind w:left="432"/>
      </w:pPr>
      <w:r>
        <w:rPr>
          <w:color w:val="18181B"/>
          <w:sz w:val="20"/>
        </w:rPr>
        <w:t>SSL and HTTPS verification</w:t>
      </w:r>
    </w:p>
    <w:p>
      <w:pPr>
        <w:pStyle w:val="ListBullet"/>
        <w:spacing w:after="40"/>
        <w:ind w:left="432"/>
      </w:pPr>
      <w:r>
        <w:rPr>
          <w:color w:val="18181B"/>
          <w:sz w:val="20"/>
        </w:rPr>
        <w:t>Year established estimation from copyright footers</w:t>
      </w:r>
    </w:p>
    <w:p>
      <w:pPr>
        <w:pStyle w:val="ListBullet"/>
        <w:spacing w:after="40"/>
        <w:ind w:left="432"/>
      </w:pPr>
      <w:r>
        <w:rPr>
          <w:color w:val="18181B"/>
          <w:sz w:val="20"/>
        </w:rPr>
        <w:t>Staff size signal from About/Team pages</w:t>
      </w:r>
    </w:p>
    <w:p>
      <w:pPr>
        <w:pStyle w:val="ListBullet"/>
        <w:spacing w:after="40"/>
        <w:ind w:left="432"/>
      </w:pPr>
      <w:r>
        <w:rPr>
          <w:color w:val="18181B"/>
          <w:sz w:val="20"/>
        </w:rPr>
        <w:t>Kenya certifications and regulatory markers</w:t>
      </w:r>
    </w:p>
    <w:p>
      <w:pPr>
        <w:pStyle w:val="ListBullet"/>
        <w:spacing w:after="40"/>
        <w:ind w:left="432"/>
      </w:pPr>
      <w:r>
        <w:rPr>
          <w:color w:val="18181B"/>
          <w:sz w:val="20"/>
        </w:rPr>
        <w:t>Opportunity Score: composite of reachability + gap count + social activity + business maturity</w:t>
      </w:r>
    </w:p>
    <w:p>
      <w:pPr>
        <w:pStyle w:val="ListBullet"/>
        <w:spacing w:after="40"/>
        <w:ind w:left="432"/>
      </w:pPr>
      <w:r>
        <w:rPr>
          <w:color w:val="18181B"/>
          <w:sz w:val="20"/>
        </w:rPr>
        <w:t>Vertical-aware enrichment — 28 vertical configs with subpages, signal regex, gap detection</w:t>
      </w:r>
    </w:p>
    <w:p>
      <w:pPr>
        <w:spacing w:before="240" w:after="80"/>
      </w:pPr>
      <w:r>
        <w:rPr>
          <w:b/>
          <w:color w:val="18181B"/>
          <w:sz w:val="26"/>
          <w:u w:val="single"/>
        </w:rPr>
        <w:t>3.3  AI Scoring</w:t>
      </w:r>
    </w:p>
    <w:p>
      <w:pPr>
        <w:pStyle w:val="ListBullet"/>
        <w:spacing w:after="40"/>
        <w:ind w:left="432"/>
      </w:pPr>
      <w:r>
        <w:rPr>
          <w:color w:val="18181B"/>
          <w:sz w:val="20"/>
        </w:rPr>
        <w:t>0–100 Fit Score — calibrated per vertical</w:t>
      </w:r>
    </w:p>
    <w:p>
      <w:pPr>
        <w:pStyle w:val="ListBullet"/>
        <w:spacing w:after="40"/>
        <w:ind w:left="432"/>
      </w:pPr>
      <w:r>
        <w:rPr>
          <w:color w:val="18181B"/>
          <w:sz w:val="20"/>
        </w:rPr>
        <w:t>Specific pain signals surfaced (e.g. 'No booking system', 'WhatsApp button missing', 'No SSL')</w:t>
      </w:r>
    </w:p>
    <w:p>
      <w:pPr>
        <w:pStyle w:val="ListBullet"/>
        <w:spacing w:after="40"/>
        <w:ind w:left="432"/>
      </w:pPr>
      <w:r>
        <w:rPr>
          <w:color w:val="18181B"/>
          <w:sz w:val="20"/>
        </w:rPr>
        <w:t>Proprietary scoring engine (not disclosed publicly)</w:t>
      </w:r>
    </w:p>
    <w:p>
      <w:pPr>
        <w:pStyle w:val="ListBullet"/>
        <w:spacing w:after="40"/>
        <w:ind w:left="432"/>
      </w:pPr>
      <w:r>
        <w:rPr>
          <w:color w:val="18181B"/>
          <w:sz w:val="20"/>
        </w:rPr>
        <w:t>Bulk scoring — score entire lead list in one click</w:t>
      </w:r>
    </w:p>
    <w:p>
      <w:pPr>
        <w:pStyle w:val="ListBullet"/>
        <w:spacing w:after="40"/>
        <w:ind w:left="432"/>
      </w:pPr>
      <w:r>
        <w:rPr>
          <w:color w:val="18181B"/>
          <w:sz w:val="20"/>
        </w:rPr>
        <w:t>Scores stored and searchable; leads sortable by score</w:t>
      </w:r>
    </w:p>
    <w:p>
      <w:pPr>
        <w:spacing w:before="240" w:after="80"/>
      </w:pPr>
      <w:r>
        <w:rPr>
          <w:b/>
          <w:color w:val="18181B"/>
          <w:sz w:val="26"/>
          <w:u w:val="single"/>
        </w:rPr>
        <w:t>3.4  Outreach Copy Generation</w:t>
      </w:r>
    </w:p>
    <w:p>
      <w:pPr>
        <w:pStyle w:val="ListBullet"/>
        <w:spacing w:after="40"/>
        <w:ind w:left="432"/>
      </w:pPr>
      <w:r>
        <w:rPr>
          <w:color w:val="18181B"/>
          <w:sz w:val="20"/>
        </w:rPr>
        <w:t>WhatsApp opener — casual, specific, pain-led, under 160 characters</w:t>
      </w:r>
    </w:p>
    <w:p>
      <w:pPr>
        <w:pStyle w:val="ListBullet"/>
        <w:spacing w:after="40"/>
        <w:ind w:left="432"/>
      </w:pPr>
      <w:r>
        <w:rPr>
          <w:color w:val="18181B"/>
          <w:sz w:val="20"/>
        </w:rPr>
        <w:t>Email opener — professional, subject line + body, personalised per lead</w:t>
      </w:r>
    </w:p>
    <w:p>
      <w:pPr>
        <w:pStyle w:val="ListBullet"/>
        <w:spacing w:after="40"/>
        <w:ind w:left="432"/>
      </w:pPr>
      <w:r>
        <w:rPr>
          <w:color w:val="18181B"/>
          <w:sz w:val="20"/>
        </w:rPr>
        <w:t>Pain-led copywriting — uses vertical-specific pain signals, not templates</w:t>
      </w:r>
    </w:p>
    <w:p>
      <w:pPr>
        <w:pStyle w:val="ListBullet"/>
        <w:spacing w:after="40"/>
        <w:ind w:left="432"/>
      </w:pPr>
      <w:r>
        <w:rPr>
          <w:color w:val="18181B"/>
          <w:sz w:val="20"/>
        </w:rPr>
        <w:t>Bulk outreach — generate copy for all scored leads at once</w:t>
      </w:r>
    </w:p>
    <w:p>
      <w:pPr>
        <w:pStyle w:val="ListBullet"/>
        <w:spacing w:after="40"/>
        <w:ind w:left="432"/>
      </w:pPr>
      <w:r>
        <w:rPr>
          <w:color w:val="18181B"/>
          <w:sz w:val="20"/>
        </w:rPr>
        <w:t>Outreach channels: WhatsApp (default) + Email</w:t>
      </w:r>
    </w:p>
    <w:p>
      <w:pPr>
        <w:pStyle w:val="ListBullet"/>
        <w:spacing w:after="40"/>
        <w:ind w:left="432"/>
      </w:pPr>
      <w:r>
        <w:rPr>
          <w:color w:val="18181B"/>
          <w:sz w:val="20"/>
        </w:rPr>
        <w:t>Copy stored per lead; editable before sending</w:t>
      </w:r>
    </w:p>
    <w:p>
      <w:pPr>
        <w:spacing w:before="240" w:after="80"/>
      </w:pPr>
      <w:r>
        <w:rPr>
          <w:b/>
          <w:color w:val="18181B"/>
          <w:sz w:val="26"/>
          <w:u w:val="single"/>
        </w:rPr>
        <w:t>3.5  Pipeline Management</w:t>
      </w:r>
    </w:p>
    <w:p>
      <w:pPr>
        <w:pStyle w:val="ListBullet"/>
        <w:spacing w:after="40"/>
        <w:ind w:left="432"/>
      </w:pPr>
      <w:r>
        <w:rPr>
          <w:color w:val="18181B"/>
          <w:sz w:val="20"/>
        </w:rPr>
        <w:t>Kanban-style pipeline view: New → Contacted → Replied → Won → Lost</w:t>
      </w:r>
    </w:p>
    <w:p>
      <w:pPr>
        <w:pStyle w:val="ListBullet"/>
        <w:spacing w:after="40"/>
        <w:ind w:left="432"/>
      </w:pPr>
      <w:r>
        <w:rPr>
          <w:color w:val="18181B"/>
          <w:sz w:val="20"/>
        </w:rPr>
        <w:t>Stage transitions tracked with timestamps</w:t>
      </w:r>
    </w:p>
    <w:p>
      <w:pPr>
        <w:pStyle w:val="ListBullet"/>
        <w:spacing w:after="40"/>
        <w:ind w:left="432"/>
      </w:pPr>
      <w:r>
        <w:rPr>
          <w:color w:val="18181B"/>
          <w:sz w:val="20"/>
        </w:rPr>
        <w:t>Filter leads by stage, vertical, city, score, enrichment status</w:t>
      </w:r>
    </w:p>
    <w:p>
      <w:pPr>
        <w:pStyle w:val="ListBullet"/>
        <w:spacing w:after="40"/>
        <w:ind w:left="432"/>
      </w:pPr>
      <w:r>
        <w:rPr>
          <w:color w:val="18181B"/>
          <w:sz w:val="20"/>
        </w:rPr>
        <w:t>Export to CSV</w:t>
      </w:r>
    </w:p>
    <w:p>
      <w:pPr>
        <w:pStyle w:val="ListBullet"/>
        <w:spacing w:after="40"/>
        <w:ind w:left="432"/>
      </w:pPr>
      <w:r>
        <w:rPr>
          <w:color w:val="18181B"/>
          <w:sz w:val="20"/>
        </w:rPr>
        <w:t>Lead detail view: full enrichment data, score, copy, notes</w:t>
      </w:r>
    </w:p>
    <w:p>
      <w:pPr>
        <w:spacing w:before="240" w:after="80"/>
      </w:pPr>
      <w:r>
        <w:rPr>
          <w:b/>
          <w:color w:val="18181B"/>
          <w:sz w:val="26"/>
          <w:u w:val="single"/>
        </w:rPr>
        <w:t>3.6  Team &amp; Corporate Features</w:t>
      </w:r>
    </w:p>
    <w:p>
      <w:pPr>
        <w:pStyle w:val="ListBullet"/>
        <w:spacing w:after="40"/>
        <w:ind w:left="432"/>
      </w:pPr>
      <w:r>
        <w:rPr>
          <w:color w:val="18181B"/>
          <w:sz w:val="20"/>
        </w:rPr>
        <w:t>Multi-seat corporate accounts (5 / 15 / 30 seats depending on plan)</w:t>
      </w:r>
    </w:p>
    <w:p>
      <w:pPr>
        <w:pStyle w:val="ListBullet"/>
        <w:spacing w:after="40"/>
        <w:ind w:left="432"/>
      </w:pPr>
      <w:r>
        <w:rPr>
          <w:color w:val="18181B"/>
          <w:sz w:val="20"/>
        </w:rPr>
        <w:t>Admin can invite members by email (individual or bulk comma-separated)</w:t>
      </w:r>
    </w:p>
    <w:p>
      <w:pPr>
        <w:pStyle w:val="ListBullet"/>
        <w:spacing w:after="40"/>
        <w:ind w:left="432"/>
      </w:pPr>
      <w:r>
        <w:rPr>
          <w:color w:val="18181B"/>
          <w:sz w:val="20"/>
        </w:rPr>
        <w:t>Suspend / reinstate members without losing their data</w:t>
      </w:r>
    </w:p>
    <w:p>
      <w:pPr>
        <w:pStyle w:val="ListBullet"/>
        <w:spacing w:after="40"/>
        <w:ind w:left="432"/>
      </w:pPr>
      <w:r>
        <w:rPr>
          <w:color w:val="18181B"/>
          <w:sz w:val="20"/>
        </w:rPr>
        <w:t>Domain auto-join: users signing up with a company email auto-join the org</w:t>
      </w:r>
    </w:p>
    <w:p>
      <w:pPr>
        <w:pStyle w:val="ListBullet"/>
        <w:spacing w:after="40"/>
        <w:ind w:left="432"/>
      </w:pPr>
      <w:r>
        <w:rPr>
          <w:color w:val="18181B"/>
          <w:sz w:val="20"/>
        </w:rPr>
        <w:t>Role system: Admin (org owner) / Member (all features, no billing/settings)</w:t>
      </w:r>
    </w:p>
    <w:p>
      <w:pPr>
        <w:pStyle w:val="ListBullet"/>
        <w:spacing w:after="40"/>
        <w:ind w:left="432"/>
      </w:pPr>
      <w:r>
        <w:rPr>
          <w:color w:val="18181B"/>
          <w:sz w:val="20"/>
        </w:rPr>
        <w:t>Corporate account requires KRA PIN, company registration, billing email</w:t>
      </w:r>
    </w:p>
    <w:p>
      <w:pPr>
        <w:spacing w:before="240" w:after="80"/>
      </w:pPr>
      <w:r>
        <w:rPr>
          <w:b/>
          <w:color w:val="18181B"/>
          <w:sz w:val="26"/>
          <w:u w:val="single"/>
        </w:rPr>
        <w:t>3.7  Settings &amp; Compliance</w:t>
      </w:r>
    </w:p>
    <w:p>
      <w:pPr>
        <w:pStyle w:val="ListBullet"/>
        <w:spacing w:after="40"/>
        <w:ind w:left="432"/>
      </w:pPr>
      <w:r>
        <w:rPr>
          <w:color w:val="18181B"/>
          <w:sz w:val="20"/>
        </w:rPr>
        <w:t>KRA PIN storage (format-validated: A123456789B)</w:t>
      </w:r>
    </w:p>
    <w:p>
      <w:pPr>
        <w:pStyle w:val="ListBullet"/>
        <w:spacing w:after="40"/>
        <w:ind w:left="432"/>
      </w:pPr>
      <w:r>
        <w:rPr>
          <w:color w:val="18181B"/>
          <w:sz w:val="20"/>
        </w:rPr>
        <w:t>Company registration number</w:t>
      </w:r>
    </w:p>
    <w:p>
      <w:pPr>
        <w:pStyle w:val="ListBullet"/>
        <w:spacing w:after="40"/>
        <w:ind w:left="432"/>
      </w:pPr>
      <w:r>
        <w:rPr>
          <w:color w:val="18181B"/>
          <w:sz w:val="20"/>
        </w:rPr>
        <w:t>Billing email (separate from account email)</w:t>
      </w:r>
    </w:p>
    <w:p>
      <w:pPr>
        <w:pStyle w:val="ListBullet"/>
        <w:spacing w:after="40"/>
        <w:ind w:left="432"/>
      </w:pPr>
      <w:r>
        <w:rPr>
          <w:color w:val="18181B"/>
          <w:sz w:val="20"/>
        </w:rPr>
        <w:t>Kenya Data Protection Act 2019 consent audit trail (IP + user agent + timestamp)</w:t>
      </w:r>
    </w:p>
    <w:p>
      <w:pPr>
        <w:pStyle w:val="ListBullet"/>
        <w:spacing w:after="40"/>
        <w:ind w:left="432"/>
      </w:pPr>
      <w:r>
        <w:rPr>
          <w:color w:val="18181B"/>
          <w:sz w:val="20"/>
        </w:rPr>
        <w:t>Operating county and physical address (required for corporate)</w:t>
      </w:r>
    </w:p>
    <w:p>
      <w:pPr>
        <w:pStyle w:val="ListBullet"/>
        <w:spacing w:after="40"/>
        <w:ind w:left="432"/>
      </w:pPr>
      <w:r>
        <w:rPr>
          <w:color w:val="18181B"/>
          <w:sz w:val="20"/>
        </w:rPr>
        <w:t>Domain auto-join configuration</w:t>
      </w:r>
    </w:p>
    <w:p>
      <w:pPr>
        <w:pStyle w:val="ListBullet"/>
        <w:spacing w:after="40"/>
        <w:ind w:left="432"/>
      </w:pPr>
      <w:r>
        <w:rPr>
          <w:color w:val="18181B"/>
          <w:sz w:val="20"/>
        </w:rPr>
        <w:t>Hunter Enrichment Mode: Standard / Aggressive (configurable per org)</w:t>
      </w:r>
    </w:p>
    <w:p>
      <w:r>
        <w:br w:type="page"/>
      </w:r>
    </w:p>
    <w:p>
      <w:pPr>
        <w:spacing w:before="360" w:after="120"/>
      </w:pPr>
      <w:r>
        <w:rPr>
          <w:b/>
          <w:color w:val="10B981"/>
          <w:sz w:val="36"/>
        </w:rPr>
        <w:t>4. TECHNICAL ARCHITECTURE</w:t>
      </w:r>
    </w:p>
    <w:p>
      <w:pPr>
        <w:spacing w:before="240" w:after="80"/>
      </w:pPr>
      <w:r>
        <w:rPr>
          <w:b/>
          <w:color w:val="18181B"/>
          <w:sz w:val="26"/>
          <w:u w:val="single"/>
        </w:rPr>
        <w:t>4.1  Stack</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Layer</w:t>
            </w:r>
          </w:p>
        </w:tc>
        <w:tc>
          <w:tcPr>
            <w:tcW w:type="dxa" w:w="2880"/>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Technology</w:t>
            </w:r>
          </w:p>
        </w:tc>
        <w:tc>
          <w:tcPr>
            <w:tcW w:type="dxa" w:w="3168"/>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Purpose</w:t>
            </w:r>
          </w:p>
        </w:tc>
      </w:tr>
      <w:tr>
        <w:tc>
          <w:tcPr>
            <w:tcW w:type="dxa" w:w="259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Frontend Framework</w:t>
            </w:r>
          </w:p>
        </w:tc>
        <w:tc>
          <w:tcPr>
            <w:tcW w:type="dxa" w:w="288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Next.js 16 (App Router)</w:t>
            </w:r>
          </w:p>
        </w:tc>
        <w:tc>
          <w:tcPr>
            <w:tcW w:type="dxa" w:w="316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Server components, API routes, ISR, PWA</w:t>
            </w:r>
          </w:p>
        </w:tc>
      </w:tr>
      <w:tr>
        <w:tc>
          <w:tcPr>
            <w:tcW w:type="dxa" w:w="259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UI Library</w:t>
            </w:r>
          </w:p>
        </w:tc>
        <w:tc>
          <w:tcPr>
            <w:tcW w:type="dxa" w:w="288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Tailwind CSS + shadcn/ui</w:t>
            </w:r>
          </w:p>
        </w:tc>
        <w:tc>
          <w:tcPr>
            <w:tcW w:type="dxa" w:w="316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Dark-theme component library</w:t>
            </w:r>
          </w:p>
        </w:tc>
      </w:tr>
      <w:tr>
        <w:tc>
          <w:tcPr>
            <w:tcW w:type="dxa" w:w="259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Auth</w:t>
            </w:r>
          </w:p>
        </w:tc>
        <w:tc>
          <w:tcPr>
            <w:tcW w:type="dxa" w:w="288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Supabase Auth</w:t>
            </w:r>
          </w:p>
        </w:tc>
        <w:tc>
          <w:tcPr>
            <w:tcW w:type="dxa" w:w="316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Email/password + Google OAuth, email confirmation required</w:t>
            </w:r>
          </w:p>
        </w:tc>
      </w:tr>
      <w:tr>
        <w:tc>
          <w:tcPr>
            <w:tcW w:type="dxa" w:w="259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Database</w:t>
            </w:r>
          </w:p>
        </w:tc>
        <w:tc>
          <w:tcPr>
            <w:tcW w:type="dxa" w:w="288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Supabase Postgres (service role)</w:t>
            </w:r>
          </w:p>
        </w:tc>
        <w:tc>
          <w:tcPr>
            <w:tcW w:type="dxa" w:w="316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All data — orgs, leads, jobs, billing events</w:t>
            </w:r>
          </w:p>
        </w:tc>
      </w:tr>
      <w:tr>
        <w:tc>
          <w:tcPr>
            <w:tcW w:type="dxa" w:w="259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File Storage</w:t>
            </w:r>
          </w:p>
        </w:tc>
        <w:tc>
          <w:tcPr>
            <w:tcW w:type="dxa" w:w="288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Supabase Storage</w:t>
            </w:r>
          </w:p>
        </w:tc>
        <w:tc>
          <w:tcPr>
            <w:tcW w:type="dxa" w:w="316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Lead exports, attachments</w:t>
            </w:r>
          </w:p>
        </w:tc>
      </w:tr>
      <w:tr>
        <w:tc>
          <w:tcPr>
            <w:tcW w:type="dxa" w:w="259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AI Engine</w:t>
            </w:r>
          </w:p>
        </w:tc>
        <w:tc>
          <w:tcPr>
            <w:tcW w:type="dxa" w:w="288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Proprietary (Hunter Intelligence)</w:t>
            </w:r>
          </w:p>
        </w:tc>
        <w:tc>
          <w:tcPr>
            <w:tcW w:type="dxa" w:w="316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Scoring + outreach generation</w:t>
            </w:r>
          </w:p>
        </w:tc>
      </w:tr>
      <w:tr>
        <w:tc>
          <w:tcPr>
            <w:tcW w:type="dxa" w:w="259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Hosting</w:t>
            </w:r>
          </w:p>
        </w:tc>
        <w:tc>
          <w:tcPr>
            <w:tcW w:type="dxa" w:w="288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Vercel (Fluid Compute)</w:t>
            </w:r>
          </w:p>
        </w:tc>
        <w:tc>
          <w:tcPr>
            <w:tcW w:type="dxa" w:w="316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Background functions, CDN, edge caching</w:t>
            </w:r>
          </w:p>
        </w:tc>
      </w:tr>
      <w:tr>
        <w:tc>
          <w:tcPr>
            <w:tcW w:type="dxa" w:w="259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Payments</w:t>
            </w:r>
          </w:p>
        </w:tc>
        <w:tc>
          <w:tcPr>
            <w:tcW w:type="dxa" w:w="288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Stripe (current) / Paystack (roadmap)</w:t>
            </w:r>
          </w:p>
        </w:tc>
        <w:tc>
          <w:tcPr>
            <w:tcW w:type="dxa" w:w="316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Subscription billing + one-time payments</w:t>
            </w:r>
          </w:p>
        </w:tc>
      </w:tr>
      <w:tr>
        <w:tc>
          <w:tcPr>
            <w:tcW w:type="dxa" w:w="259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Email</w:t>
            </w:r>
          </w:p>
        </w:tc>
        <w:tc>
          <w:tcPr>
            <w:tcW w:type="dxa" w:w="288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Supabase SMTP / Resend</w:t>
            </w:r>
          </w:p>
        </w:tc>
        <w:tc>
          <w:tcPr>
            <w:tcW w:type="dxa" w:w="316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Auth emails, workshop confirmations, alerts</w:t>
            </w:r>
          </w:p>
        </w:tc>
      </w:tr>
      <w:tr>
        <w:tc>
          <w:tcPr>
            <w:tcW w:type="dxa" w:w="259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PWA</w:t>
            </w:r>
          </w:p>
        </w:tc>
        <w:tc>
          <w:tcPr>
            <w:tcW w:type="dxa" w:w="288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@ducanh2912/next-pwa</w:t>
            </w:r>
          </w:p>
        </w:tc>
        <w:tc>
          <w:tcPr>
            <w:tcW w:type="dxa" w:w="316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Installable mobile app, service worker</w:t>
            </w:r>
          </w:p>
        </w:tc>
      </w:tr>
    </w:tbl>
    <w:p/>
    <w:p>
      <w:pPr>
        <w:spacing w:before="240" w:after="80"/>
      </w:pPr>
      <w:r>
        <w:rPr>
          <w:b/>
          <w:color w:val="18181B"/>
          <w:sz w:val="26"/>
          <w:u w:val="single"/>
        </w:rPr>
        <w:t>4.2  Data Architecture</w:t>
      </w:r>
    </w:p>
    <w:p>
      <w:pPr>
        <w:spacing w:after="80"/>
      </w:pPr>
      <w:r>
        <w:rPr>
          <w:color w:val="18181B"/>
          <w:sz w:val="20"/>
        </w:rPr>
        <w:t>All data is scoped by org_id. Every API route calls resolveOrgId(user.id) — corporate members transparently share their admin's workspace without any code changes.</w:t>
      </w:r>
    </w:p>
    <w:p>
      <w:pPr>
        <w:spacing w:after="80"/>
      </w:pPr>
      <w:r>
        <w:rPr>
          <w:color w:val="18181B"/>
          <w:sz w:val="20"/>
        </w:rPr>
        <w:t>Key tables:</w:t>
      </w:r>
    </w:p>
    <w:tbl>
      <w:tblPr>
        <w:tblStyle w:val="TableGrid"/>
        <w:tblW w:type="auto" w:w="0"/>
        <w:tblLook w:firstColumn="1" w:firstRow="1" w:lastColumn="0" w:lastRow="0" w:noHBand="0" w:noVBand="1" w:val="04A0"/>
      </w:tblPr>
      <w:tblGrid>
        <w:gridCol w:w="4703"/>
        <w:gridCol w:w="4703"/>
      </w:tblGrid>
      <w:tr>
        <w:tc>
          <w:tcPr>
            <w:tcW w:type="dxa" w:w="3168"/>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Table</w:t>
            </w:r>
          </w:p>
        </w:tc>
        <w:tc>
          <w:tcPr>
            <w:tcW w:type="dxa" w:w="5472"/>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Purpose</w:t>
            </w:r>
          </w:p>
        </w:tc>
      </w:tr>
      <w:tr>
        <w:tc>
          <w:tcPr>
            <w:tcW w:type="dxa" w:w="316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hunter_orgs</w:t>
            </w:r>
          </w:p>
        </w:tc>
        <w:tc>
          <w:tcPr>
            <w:tcW w:type="dxa" w:w="547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One row per workspace. Stores plan, credits, trial dates, compliance data, onboarding config.</w:t>
            </w:r>
          </w:p>
        </w:tc>
      </w:tr>
      <w:tr>
        <w:tc>
          <w:tcPr>
            <w:tcW w:type="dxa" w:w="316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hunter_leads</w:t>
            </w:r>
          </w:p>
        </w:tc>
        <w:tc>
          <w:tcPr>
            <w:tcW w:type="dxa" w:w="547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Core entity. All discovery, enrichment, scoring, and outreach fields live here.</w:t>
            </w:r>
          </w:p>
        </w:tc>
      </w:tr>
      <w:tr>
        <w:tc>
          <w:tcPr>
            <w:tcW w:type="dxa" w:w="316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hunter_scrape_jobs</w:t>
            </w:r>
          </w:p>
        </w:tc>
        <w:tc>
          <w:tcPr>
            <w:tcW w:type="dxa" w:w="547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Job tracking: status, progress/total for real-time polling.</w:t>
            </w:r>
          </w:p>
        </w:tc>
      </w:tr>
      <w:tr>
        <w:tc>
          <w:tcPr>
            <w:tcW w:type="dxa" w:w="316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hunter_org_members</w:t>
            </w:r>
          </w:p>
        </w:tc>
        <w:tc>
          <w:tcPr>
            <w:tcW w:type="dxa" w:w="547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Corporate member roster: role (admin/member), status (active/suspended).</w:t>
            </w:r>
          </w:p>
        </w:tc>
      </w:tr>
      <w:tr>
        <w:tc>
          <w:tcPr>
            <w:tcW w:type="dxa" w:w="316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hunter_org_invites</w:t>
            </w:r>
          </w:p>
        </w:tc>
        <w:tc>
          <w:tcPr>
            <w:tcW w:type="dxa" w:w="547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Pending email invitations with expiry and token-based acceptance.</w:t>
            </w:r>
          </w:p>
        </w:tc>
      </w:tr>
      <w:tr>
        <w:tc>
          <w:tcPr>
            <w:tcW w:type="dxa" w:w="316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hunter_legal_consents</w:t>
            </w:r>
          </w:p>
        </w:tc>
        <w:tc>
          <w:tcPr>
            <w:tcW w:type="dxa" w:w="547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Immutable Kenya DPA audit trail: consent type, version, IP, user agent, timestamp.</w:t>
            </w:r>
          </w:p>
        </w:tc>
      </w:tr>
      <w:tr>
        <w:tc>
          <w:tcPr>
            <w:tcW w:type="dxa" w:w="316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hunter_subscriptions</w:t>
            </w:r>
          </w:p>
        </w:tc>
        <w:tc>
          <w:tcPr>
            <w:tcW w:type="dxa" w:w="547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Stripe subscription lifecycle: plan, status, period dates, seat limit.</w:t>
            </w:r>
          </w:p>
        </w:tc>
      </w:tr>
      <w:tr>
        <w:tc>
          <w:tcPr>
            <w:tcW w:type="dxa" w:w="316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hunter_payment_intents</w:t>
            </w:r>
          </w:p>
        </w:tc>
        <w:tc>
          <w:tcPr>
            <w:tcW w:type="dxa" w:w="547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Payment intent ledger with idempotency keys.</w:t>
            </w:r>
          </w:p>
        </w:tc>
      </w:tr>
      <w:tr>
        <w:tc>
          <w:tcPr>
            <w:tcW w:type="dxa" w:w="316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hunter_payment_events</w:t>
            </w:r>
          </w:p>
        </w:tc>
        <w:tc>
          <w:tcPr>
            <w:tcW w:type="dxa" w:w="547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Immutable Stripe webhook event log — every event recorded regardless of outcome.</w:t>
            </w:r>
          </w:p>
        </w:tc>
      </w:tr>
    </w:tbl>
    <w:p/>
    <w:p>
      <w:pPr>
        <w:spacing w:before="240" w:after="80"/>
      </w:pPr>
      <w:r>
        <w:rPr>
          <w:b/>
          <w:color w:val="18181B"/>
          <w:sz w:val="26"/>
          <w:u w:val="single"/>
        </w:rPr>
        <w:t>4.3  Auth Flow (Post-Confirmation Deferred Writes)</w:t>
      </w:r>
    </w:p>
    <w:p>
      <w:pPr>
        <w:spacing w:after="80"/>
      </w:pPr>
      <w:r>
        <w:rPr>
          <w:color w:val="18181B"/>
          <w:sz w:val="20"/>
        </w:rPr>
        <w:t>Security-hardened signup flow: no database rows are created until the user clicks the email confirmation link. All org setup data (account type, trial length, consents, corporate fields, client IP for DPA audit) is stored in Supabase user_metadata at sign-up time. The /auth/callback route creates hunter_orgs and hunter_legal_consents only after exchangeCodeForSession confirms the email.</w:t>
      </w:r>
    </w:p>
    <w:p>
      <w:pPr>
        <w:pStyle w:val="ListBullet"/>
        <w:spacing w:after="40"/>
        <w:ind w:left="432"/>
      </w:pPr>
      <w:r>
        <w:rPr>
          <w:color w:val="18181B"/>
          <w:sz w:val="20"/>
        </w:rPr>
        <w:t>Email signup → user_metadata stored → confirmation email sent → /auth/callback → org + consents created</w:t>
      </w:r>
    </w:p>
    <w:p>
      <w:pPr>
        <w:pStyle w:val="ListBullet"/>
        <w:spacing w:after="40"/>
        <w:ind w:left="432"/>
      </w:pPr>
      <w:r>
        <w:rPr>
          <w:color w:val="18181B"/>
          <w:sz w:val="20"/>
        </w:rPr>
        <w:t>Google OAuth → /auth/callback → minimal org created (no email confirmation needed)</w:t>
      </w:r>
    </w:p>
    <w:p>
      <w:pPr>
        <w:pStyle w:val="ListBullet"/>
        <w:spacing w:after="40"/>
        <w:ind w:left="432"/>
      </w:pPr>
      <w:r>
        <w:rPr>
          <w:color w:val="18181B"/>
          <w:sz w:val="20"/>
        </w:rPr>
        <w:t>Corporate invite → fn_accept_invite_safe RPC (atomic, seat-guarded) → member added to existing org</w:t>
      </w:r>
    </w:p>
    <w:p>
      <w:pPr>
        <w:spacing w:before="240" w:after="80"/>
      </w:pPr>
      <w:r>
        <w:rPr>
          <w:b/>
          <w:color w:val="18181B"/>
          <w:sz w:val="26"/>
          <w:u w:val="single"/>
        </w:rPr>
        <w:t>4.4  Background Processing</w:t>
      </w:r>
    </w:p>
    <w:p>
      <w:pPr>
        <w:spacing w:after="80"/>
      </w:pPr>
      <w:r>
        <w:rPr>
          <w:color w:val="18181B"/>
          <w:sz w:val="20"/>
        </w:rPr>
        <w:t>Scrape jobs use Next.js after() to run in the background after the HTTP response is returned. Vercel Fluid Compute keeps the function alive for up to 300 seconds post-response. The client polls /api/scrape/[jobId]/status every 2 seconds for real-time progress.</w:t>
      </w:r>
    </w:p>
    <w:p>
      <w:pPr>
        <w:spacing w:before="240" w:after="80"/>
      </w:pPr>
      <w:r>
        <w:rPr>
          <w:b/>
          <w:color w:val="18181B"/>
          <w:sz w:val="26"/>
          <w:u w:val="single"/>
        </w:rPr>
        <w:t>4.5  Security Posture</w:t>
      </w:r>
    </w:p>
    <w:tbl>
      <w:tblPr>
        <w:tblStyle w:val="TableGrid"/>
        <w:tblW w:type="auto" w:w="0"/>
        <w:tblLook w:firstColumn="1" w:firstRow="1" w:lastColumn="0" w:lastRow="0" w:noHBand="0" w:noVBand="1" w:val="04A0"/>
      </w:tblPr>
      <w:tblGrid>
        <w:gridCol w:w="4703"/>
        <w:gridCol w:w="4703"/>
      </w:tblGrid>
      <w:tr>
        <w:tc>
          <w:tcPr>
            <w:tcW w:type="dxa" w:w="3456"/>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Control</w:t>
            </w:r>
          </w:p>
        </w:tc>
        <w:tc>
          <w:tcPr>
            <w:tcW w:type="dxa" w:w="5184"/>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Implementation</w:t>
            </w:r>
          </w:p>
        </w:tc>
      </w:tr>
      <w:tr>
        <w:tc>
          <w:tcPr>
            <w:tcW w:type="dxa" w:w="345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SSRF Protection</w:t>
            </w:r>
          </w:p>
        </w:tc>
        <w:tc>
          <w:tcPr>
            <w:tcW w:type="dxa" w:w="5184"/>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isSafeUrl() blocks all private ranges (RFC1918, link-local 169.254.x.x, localhost, .internal, .local)</w:t>
            </w:r>
          </w:p>
        </w:tc>
      </w:tr>
      <w:tr>
        <w:tc>
          <w:tcPr>
            <w:tcW w:type="dxa" w:w="345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Rate Limiting</w:t>
            </w:r>
          </w:p>
        </w:tc>
        <w:tc>
          <w:tcPr>
            <w:tcW w:type="dxa" w:w="5184"/>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In-memory per-IP: 60 RPM general API, 15 RPM auth API (/api/auth/*). Page navigations never rate-limited.</w:t>
            </w:r>
          </w:p>
        </w:tc>
      </w:tr>
      <w:tr>
        <w:tc>
          <w:tcPr>
            <w:tcW w:type="dxa" w:w="345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Bot Blocking</w:t>
            </w:r>
          </w:p>
        </w:tc>
        <w:tc>
          <w:tcPr>
            <w:tcW w:type="dxa" w:w="5184"/>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Middleware blocks known headless UA strings (curl, puppeteer, selenium, scrapy, etc.)</w:t>
            </w:r>
          </w:p>
        </w:tc>
      </w:tr>
      <w:tr>
        <w:tc>
          <w:tcPr>
            <w:tcW w:type="dxa" w:w="345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Honeypot</w:t>
            </w:r>
          </w:p>
        </w:tc>
        <w:tc>
          <w:tcPr>
            <w:tcW w:type="dxa" w:w="5184"/>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Hidden _hp field on signup/workshop forms; bots get fake success, never reach DB</w:t>
            </w:r>
          </w:p>
        </w:tc>
      </w:tr>
      <w:tr>
        <w:tc>
          <w:tcPr>
            <w:tcW w:type="dxa" w:w="345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Disposable Email Blocking</w:t>
            </w:r>
          </w:p>
        </w:tc>
        <w:tc>
          <w:tcPr>
            <w:tcW w:type="dxa" w:w="5184"/>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70+ temp-mail domains blocked at signup</w:t>
            </w:r>
          </w:p>
        </w:tc>
      </w:tr>
      <w:tr>
        <w:tc>
          <w:tcPr>
            <w:tcW w:type="dxa" w:w="345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Gibberish Detection</w:t>
            </w:r>
          </w:p>
        </w:tc>
        <w:tc>
          <w:tcPr>
            <w:tcW w:type="dxa" w:w="5184"/>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Keyboard-walk pattern + repeated-char detection on name fields</w:t>
            </w:r>
          </w:p>
        </w:tc>
      </w:tr>
      <w:tr>
        <w:tc>
          <w:tcPr>
            <w:tcW w:type="dxa" w:w="345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Kenya DPA Compliance</w:t>
            </w:r>
          </w:p>
        </w:tc>
        <w:tc>
          <w:tcPr>
            <w:tcW w:type="dxa" w:w="5184"/>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Consent audit trail (IP, UA, timestamp, version) for terms/DPA/DPA-enrichment/DPA-3rd-party</w:t>
            </w:r>
          </w:p>
        </w:tc>
      </w:tr>
      <w:tr>
        <w:tc>
          <w:tcPr>
            <w:tcW w:type="dxa" w:w="345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Webhook Signature</w:t>
            </w:r>
          </w:p>
        </w:tc>
        <w:tc>
          <w:tcPr>
            <w:tcW w:type="dxa" w:w="5184"/>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Stripe signature verified via constructEvent(); STRIPE_WEBHOOK_SECRET validated at startup</w:t>
            </w:r>
          </w:p>
        </w:tc>
      </w:tr>
      <w:tr>
        <w:tc>
          <w:tcPr>
            <w:tcW w:type="dxa" w:w="345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Org Isolation</w:t>
            </w:r>
          </w:p>
        </w:tc>
        <w:tc>
          <w:tcPr>
            <w:tcW w:type="dxa" w:w="5184"/>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Service role client + manual .eq('org_id', orgId) on every query — RLS decorative</w:t>
            </w:r>
          </w:p>
        </w:tc>
      </w:tr>
      <w:tr>
        <w:tc>
          <w:tcPr>
            <w:tcW w:type="dxa" w:w="345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Email Confirmation Gate</w:t>
            </w:r>
          </w:p>
        </w:tc>
        <w:tc>
          <w:tcPr>
            <w:tcW w:type="dxa" w:w="5184"/>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Middleware blocks unconfirmed sessions from all app routes; deferred DB writes enforce this at data level</w:t>
            </w:r>
          </w:p>
        </w:tc>
      </w:tr>
      <w:tr>
        <w:tc>
          <w:tcPr>
            <w:tcW w:type="dxa" w:w="345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Corporate Account Rigor</w:t>
            </w:r>
          </w:p>
        </w:tc>
        <w:tc>
          <w:tcPr>
            <w:tcW w:type="dxa" w:w="5184"/>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KRA PIN regex, company reg min 3 chars, address min 8 chars, operating county validated against 47 Kenya counties</w:t>
            </w:r>
          </w:p>
        </w:tc>
      </w:tr>
    </w:tbl>
    <w:p/>
    <w:p>
      <w:r>
        <w:br w:type="page"/>
      </w:r>
    </w:p>
    <w:p>
      <w:pPr>
        <w:spacing w:before="360" w:after="120"/>
      </w:pPr>
      <w:r>
        <w:rPr>
          <w:b/>
          <w:color w:val="10B981"/>
          <w:sz w:val="36"/>
        </w:rPr>
        <w:t>5. PRICING MODEL</w:t>
      </w:r>
    </w:p>
    <w:p>
      <w:pPr>
        <w:spacing w:before="240" w:after="80"/>
      </w:pPr>
      <w:r>
        <w:rPr>
          <w:b/>
          <w:color w:val="18181B"/>
          <w:sz w:val="26"/>
          <w:u w:val="single"/>
        </w:rPr>
        <w:t>5.1  Three-Tier Structure</w:t>
      </w:r>
    </w:p>
    <w:p>
      <w:pPr>
        <w:spacing w:after="80"/>
      </w:pPr>
      <w:r>
        <w:rPr>
          <w:color w:val="18181B"/>
          <w:sz w:val="20"/>
        </w:rPr>
        <w:t>Pricing is KES-first. Local pricing eliminates USD conversion friction and positions Hunter as a product built for Kenya, not adapted for it.</w:t>
      </w:r>
    </w:p>
    <w:tbl>
      <w:tblPr>
        <w:tblStyle w:val="TableGrid"/>
        <w:tblW w:type="auto" w:w="0"/>
        <w:tblLook w:firstColumn="1" w:firstRow="1" w:lastColumn="0" w:lastRow="0" w:noHBand="0" w:noVBand="1" w:val="04A0"/>
      </w:tblPr>
      <w:tblGrid>
        <w:gridCol w:w="2351"/>
        <w:gridCol w:w="2351"/>
        <w:gridCol w:w="2351"/>
        <w:gridCol w:w="2351"/>
      </w:tblGrid>
      <w:tr>
        <w:tc>
          <w:tcPr>
            <w:tcW w:type="dxa" w:w="2592"/>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r>
          </w:p>
        </w:tc>
        <w:tc>
          <w:tcPr>
            <w:tcW w:type="dxa" w:w="2016"/>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SOLO / HUSTLER</w:t>
            </w:r>
          </w:p>
        </w:tc>
        <w:tc>
          <w:tcPr>
            <w:tcW w:type="dxa" w:w="2016"/>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TEAM / AGENCY</w:t>
            </w:r>
          </w:p>
        </w:tc>
        <w:tc>
          <w:tcPr>
            <w:tcW w:type="dxa" w:w="2016"/>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CORPORATE</w:t>
            </w:r>
          </w:p>
        </w:tc>
      </w:tr>
      <w:tr>
        <w:tc>
          <w:tcPr>
            <w:tcW w:type="dxa" w:w="259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Monthly (KES)</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1,500</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5,500</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18,000</w:t>
            </w:r>
          </w:p>
        </w:tc>
      </w:tr>
      <w:tr>
        <w:tc>
          <w:tcPr>
            <w:tcW w:type="dxa" w:w="259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Monthly (USD approx.)</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~$12</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~$42</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~$139</w:t>
            </w:r>
          </w:p>
        </w:tc>
      </w:tr>
      <w:tr>
        <w:tc>
          <w:tcPr>
            <w:tcW w:type="dxa" w:w="259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Annual (KES)</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15,000</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55,000</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180,000</w:t>
            </w:r>
          </w:p>
        </w:tc>
      </w:tr>
      <w:tr>
        <w:tc>
          <w:tcPr>
            <w:tcW w:type="dxa" w:w="259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Leads / month</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200</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1,500</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8,000</w:t>
            </w:r>
          </w:p>
        </w:tc>
      </w:tr>
      <w:tr>
        <w:tc>
          <w:tcPr>
            <w:tcW w:type="dxa" w:w="259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AI Scores / month</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200</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1,500</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8,000</w:t>
            </w:r>
          </w:p>
        </w:tc>
      </w:tr>
      <w:tr>
        <w:tc>
          <w:tcPr>
            <w:tcW w:type="dxa" w:w="259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WhatsApp copy / month</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200</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1,500</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8,000</w:t>
            </w:r>
          </w:p>
        </w:tc>
      </w:tr>
      <w:tr>
        <w:tc>
          <w:tcPr>
            <w:tcW w:type="dxa" w:w="259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Email copy / month</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100</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1,500</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8,000</w:t>
            </w:r>
          </w:p>
        </w:tc>
      </w:tr>
      <w:tr>
        <w:tc>
          <w:tcPr>
            <w:tcW w:type="dxa" w:w="259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Seats</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1</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3</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10</w:t>
            </w:r>
          </w:p>
        </w:tc>
      </w:tr>
      <w:tr>
        <w:tc>
          <w:tcPr>
            <w:tcW w:type="dxa" w:w="259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Lead history</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90 days</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12 months</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Unlimited</w:t>
            </w:r>
          </w:p>
        </w:tc>
      </w:tr>
      <w:tr>
        <w:tc>
          <w:tcPr>
            <w:tcW w:type="dxa" w:w="259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Export</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CSV</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CSV + Excel</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CSV + Excel + API</w:t>
            </w:r>
          </w:p>
        </w:tc>
      </w:tr>
      <w:tr>
        <w:tc>
          <w:tcPr>
            <w:tcW w:type="dxa" w:w="259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Integrations</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None</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Basic webhook</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Zapier + API + WhatsApp API</w:t>
            </w:r>
          </w:p>
        </w:tc>
      </w:tr>
      <w:tr>
        <w:tc>
          <w:tcPr>
            <w:tcW w:type="dxa" w:w="259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Custom scoring rubric</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No</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No</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Yes</w:t>
            </w:r>
          </w:p>
        </w:tc>
      </w:tr>
      <w:tr>
        <w:tc>
          <w:tcPr>
            <w:tcW w:type="dxa" w:w="259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White-label templates</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No</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No</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Yes</w:t>
            </w:r>
          </w:p>
        </w:tc>
      </w:tr>
      <w:tr>
        <w:tc>
          <w:tcPr>
            <w:tcW w:type="dxa" w:w="259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Onboarding support</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Email (48hr)</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Email (24hr)</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1-hour setup call + SLA</w:t>
            </w:r>
          </w:p>
        </w:tc>
      </w:tr>
      <w:tr>
        <w:tc>
          <w:tcPr>
            <w:tcW w:type="dxa" w:w="259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Invoicing</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Card only</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Card only</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LPO / company invoice available</w:t>
            </w:r>
          </w:p>
        </w:tc>
      </w:tr>
      <w:tr>
        <w:tc>
          <w:tcPr>
            <w:tcW w:type="dxa" w:w="259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Gross margin</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~92%</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~80%</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~63%</w:t>
            </w:r>
          </w:p>
        </w:tc>
      </w:tr>
    </w:tbl>
    <w:p/>
    <w:p>
      <w:pPr>
        <w:spacing w:before="240" w:after="80"/>
      </w:pPr>
      <w:r>
        <w:rPr>
          <w:b/>
          <w:color w:val="18181B"/>
          <w:sz w:val="26"/>
          <w:u w:val="single"/>
        </w:rPr>
        <w:t>5.2  Add-On Credits</w:t>
      </w:r>
    </w:p>
    <w:tbl>
      <w:tblPr>
        <w:tblStyle w:val="TableGrid"/>
        <w:tblW w:type="auto" w:w="0"/>
        <w:tblLook w:firstColumn="1" w:firstRow="1" w:lastColumn="0" w:lastRow="0" w:noHBand="0" w:noVBand="1" w:val="04A0"/>
      </w:tblPr>
      <w:tblGrid>
        <w:gridCol w:w="4703"/>
        <w:gridCol w:w="4703"/>
      </w:tblGrid>
      <w:tr>
        <w:tc>
          <w:tcPr>
            <w:tcW w:type="dxa" w:w="5040"/>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Add-on</w:t>
            </w:r>
          </w:p>
        </w:tc>
        <w:tc>
          <w:tcPr>
            <w:tcW w:type="dxa" w:w="3600"/>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Price</w:t>
            </w:r>
          </w:p>
        </w:tc>
      </w:tr>
      <w:tr>
        <w:tc>
          <w:tcPr>
            <w:tcW w:type="dxa" w:w="504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Extra 500 leads (scored + copy)</w:t>
            </w:r>
          </w:p>
        </w:tc>
        <w:tc>
          <w:tcPr>
            <w:tcW w:type="dxa" w:w="360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KES 900</w:t>
            </w:r>
          </w:p>
        </w:tc>
      </w:tr>
      <w:tr>
        <w:tc>
          <w:tcPr>
            <w:tcW w:type="dxa" w:w="504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Extra 100 leads</w:t>
            </w:r>
          </w:p>
        </w:tc>
        <w:tc>
          <w:tcPr>
            <w:tcW w:type="dxa" w:w="360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KES 200</w:t>
            </w:r>
          </w:p>
        </w:tc>
      </w:tr>
      <w:tr>
        <w:tc>
          <w:tcPr>
            <w:tcW w:type="dxa" w:w="504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Bulk historical export (10K)</w:t>
            </w:r>
          </w:p>
        </w:tc>
        <w:tc>
          <w:tcPr>
            <w:tcW w:type="dxa" w:w="360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KES 500 one-time</w:t>
            </w:r>
          </w:p>
        </w:tc>
      </w:tr>
      <w:tr>
        <w:tc>
          <w:tcPr>
            <w:tcW w:type="dxa" w:w="504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Additional seat</w:t>
            </w:r>
          </w:p>
        </w:tc>
        <w:tc>
          <w:tcPr>
            <w:tcW w:type="dxa" w:w="360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KES 1,500/seat/month</w:t>
            </w:r>
          </w:p>
        </w:tc>
      </w:tr>
    </w:tbl>
    <w:p/>
    <w:p>
      <w:pPr>
        <w:spacing w:before="240" w:after="80"/>
      </w:pPr>
      <w:r>
        <w:rPr>
          <w:b/>
          <w:color w:val="18181B"/>
          <w:sz w:val="26"/>
          <w:u w:val="single"/>
        </w:rPr>
        <w:t>5.3  Trial Strategy</w:t>
      </w:r>
    </w:p>
    <w:p>
      <w:pPr>
        <w:spacing w:after="80"/>
      </w:pPr>
      <w:r>
        <w:rPr>
          <w:color w:val="18181B"/>
          <w:sz w:val="20"/>
        </w:rPr>
        <w:t>Time-gated free trial — not permanent freemium (AI scoring has real marginal cost):</w:t>
      </w:r>
    </w:p>
    <w:p>
      <w:pPr>
        <w:pStyle w:val="ListBullet"/>
        <w:spacing w:after="40"/>
        <w:ind w:left="432"/>
      </w:pPr>
      <w:r>
        <w:rPr>
          <w:color w:val="18181B"/>
          <w:sz w:val="20"/>
        </w:rPr>
        <w:t>7-day full Team-tier trial for individual signups</w:t>
      </w:r>
    </w:p>
    <w:p>
      <w:pPr>
        <w:pStyle w:val="ListBullet"/>
        <w:spacing w:after="40"/>
        <w:ind w:left="432"/>
      </w:pPr>
      <w:r>
        <w:rPr>
          <w:color w:val="18181B"/>
          <w:sz w:val="20"/>
        </w:rPr>
        <w:t>14-day full Corporate-tier trial for corporate signups</w:t>
      </w:r>
    </w:p>
    <w:p>
      <w:pPr>
        <w:pStyle w:val="ListBullet"/>
        <w:spacing w:after="40"/>
        <w:ind w:left="432"/>
      </w:pPr>
      <w:r>
        <w:rPr>
          <w:color w:val="18181B"/>
          <w:sz w:val="20"/>
        </w:rPr>
        <w:t>No credit card required to start (reduces friction)</w:t>
      </w:r>
    </w:p>
    <w:p>
      <w:pPr>
        <w:pStyle w:val="ListBullet"/>
        <w:spacing w:after="40"/>
        <w:ind w:left="432"/>
      </w:pPr>
      <w:r>
        <w:rPr>
          <w:color w:val="18181B"/>
          <w:sz w:val="20"/>
        </w:rPr>
        <w:t>Day 5 automated reminder via email + WhatsApp</w:t>
      </w:r>
    </w:p>
    <w:p>
      <w:pPr>
        <w:pStyle w:val="ListBullet"/>
        <w:spacing w:after="40"/>
        <w:ind w:left="432"/>
      </w:pPr>
      <w:r>
        <w:rPr>
          <w:color w:val="18181B"/>
          <w:sz w:val="20"/>
        </w:rPr>
        <w:t>Workshop attendees receive 30 days Solo tier free as onboarding conversion tool</w:t>
      </w:r>
    </w:p>
    <w:p>
      <w:pPr>
        <w:pStyle w:val="ListBullet"/>
        <w:spacing w:after="40"/>
        <w:ind w:left="432"/>
      </w:pPr>
      <w:r>
        <w:rPr>
          <w:color w:val="18181B"/>
          <w:sz w:val="20"/>
        </w:rPr>
        <w:t>Referral: existing user refers → both receive 50 bonus lead credits</w:t>
      </w:r>
    </w:p>
    <w:p>
      <w:pPr>
        <w:spacing w:before="240" w:after="80"/>
      </w:pPr>
      <w:r>
        <w:rPr>
          <w:b/>
          <w:color w:val="18181B"/>
          <w:sz w:val="26"/>
          <w:u w:val="single"/>
        </w:rPr>
        <w:t>5.4  Revenue Target Analysis</w:t>
      </w:r>
    </w:p>
    <w:p>
      <w:pPr>
        <w:spacing w:after="80"/>
      </w:pPr>
      <w:r>
        <w:rPr>
          <w:color w:val="18181B"/>
          <w:sz w:val="20"/>
        </w:rPr>
        <w:t>To reach KES 40,000/month (KES 10,000/week):</w:t>
      </w:r>
    </w:p>
    <w:tbl>
      <w:tblPr>
        <w:tblStyle w:val="TableGrid"/>
        <w:tblW w:type="auto" w:w="0"/>
        <w:tblLook w:firstColumn="1" w:firstRow="1" w:lastColumn="0" w:lastRow="0" w:noHBand="0" w:noVBand="1" w:val="04A0"/>
      </w:tblPr>
      <w:tblGrid>
        <w:gridCol w:w="3135"/>
        <w:gridCol w:w="3135"/>
        <w:gridCol w:w="3135"/>
      </w:tblGrid>
      <w:tr>
        <w:tc>
          <w:tcPr>
            <w:tcW w:type="dxa" w:w="4320"/>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Scenario</w:t>
            </w:r>
          </w:p>
        </w:tc>
        <w:tc>
          <w:tcPr>
            <w:tcW w:type="dxa" w:w="2160"/>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Accounts</w:t>
            </w:r>
          </w:p>
        </w:tc>
        <w:tc>
          <w:tcPr>
            <w:tcW w:type="dxa" w:w="2160"/>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Monthly Revenue</w:t>
            </w:r>
          </w:p>
        </w:tc>
      </w:tr>
      <w:tr>
        <w:tc>
          <w:tcPr>
            <w:tcW w:type="dxa" w:w="432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27 × Solo</w:t>
            </w:r>
          </w:p>
        </w:tc>
        <w:tc>
          <w:tcPr>
            <w:tcW w:type="dxa" w:w="216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27</w:t>
            </w:r>
          </w:p>
        </w:tc>
        <w:tc>
          <w:tcPr>
            <w:tcW w:type="dxa" w:w="216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KES 40,500</w:t>
            </w:r>
          </w:p>
        </w:tc>
      </w:tr>
      <w:tr>
        <w:tc>
          <w:tcPr>
            <w:tcW w:type="dxa" w:w="432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10 × Solo + 5 × Team</w:t>
            </w:r>
          </w:p>
        </w:tc>
        <w:tc>
          <w:tcPr>
            <w:tcW w:type="dxa" w:w="216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15</w:t>
            </w:r>
          </w:p>
        </w:tc>
        <w:tc>
          <w:tcPr>
            <w:tcW w:type="dxa" w:w="216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KES 42,500</w:t>
            </w:r>
          </w:p>
        </w:tc>
      </w:tr>
      <w:tr>
        <w:tc>
          <w:tcPr>
            <w:tcW w:type="dxa" w:w="432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2 × Corporate + 2 × Team</w:t>
            </w:r>
          </w:p>
        </w:tc>
        <w:tc>
          <w:tcPr>
            <w:tcW w:type="dxa" w:w="216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4</w:t>
            </w:r>
          </w:p>
        </w:tc>
        <w:tc>
          <w:tcPr>
            <w:tcW w:type="dxa" w:w="216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KES 47,000</w:t>
            </w:r>
          </w:p>
        </w:tc>
      </w:tr>
      <w:tr>
        <w:tc>
          <w:tcPr>
            <w:tcW w:type="dxa" w:w="432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1 × Corporate + 5 × Team</w:t>
            </w:r>
          </w:p>
        </w:tc>
        <w:tc>
          <w:tcPr>
            <w:tcW w:type="dxa" w:w="216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6</w:t>
            </w:r>
          </w:p>
        </w:tc>
        <w:tc>
          <w:tcPr>
            <w:tcW w:type="dxa" w:w="216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KES 45,500</w:t>
            </w:r>
          </w:p>
        </w:tc>
      </w:tr>
    </w:tbl>
    <w:p/>
    <w:p>
      <w:pPr>
        <w:spacing w:after="80"/>
      </w:pPr>
      <w:r>
        <w:rPr>
          <w:color w:val="18181B"/>
          <w:sz w:val="20"/>
        </w:rPr>
        <w:t>KES 10,000/week is achievable with 15–27 paying accounts — within reach of a 60-day Hunter outreach campaign targeting Nairobi sales teams.</w:t>
      </w:r>
    </w:p>
    <w:p>
      <w:r>
        <w:br w:type="page"/>
      </w:r>
    </w:p>
    <w:p>
      <w:pPr>
        <w:spacing w:before="360" w:after="120"/>
      </w:pPr>
      <w:r>
        <w:rPr>
          <w:b/>
          <w:color w:val="10B981"/>
          <w:sz w:val="36"/>
        </w:rPr>
        <w:t>6. RUNNING COSTS &amp; INFRASTRUCTURE</w:t>
      </w:r>
    </w:p>
    <w:p>
      <w:pPr>
        <w:spacing w:before="240" w:after="80"/>
      </w:pPr>
      <w:r>
        <w:rPr>
          <w:b/>
          <w:color w:val="18181B"/>
          <w:sz w:val="26"/>
          <w:u w:val="single"/>
        </w:rPr>
        <w:t>6.1  Monthly Infrastructure Cost by Scale</w:t>
      </w:r>
    </w:p>
    <w:tbl>
      <w:tblPr>
        <w:tblStyle w:val="TableGrid"/>
        <w:tblW w:type="auto" w:w="0"/>
        <w:tblLook w:firstColumn="1" w:firstRow="1" w:lastColumn="0" w:lastRow="0" w:noHBand="0" w:noVBand="1" w:val="04A0"/>
      </w:tblPr>
      <w:tblGrid>
        <w:gridCol w:w="2351"/>
        <w:gridCol w:w="2351"/>
        <w:gridCol w:w="2351"/>
        <w:gridCol w:w="2351"/>
      </w:tblGrid>
      <w:tr>
        <w:tc>
          <w:tcPr>
            <w:tcW w:type="dxa" w:w="2592"/>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Cost Item</w:t>
            </w:r>
          </w:p>
        </w:tc>
        <w:tc>
          <w:tcPr>
            <w:tcW w:type="dxa" w:w="2016"/>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MVP (0–50 users)</w:t>
            </w:r>
          </w:p>
        </w:tc>
        <w:tc>
          <w:tcPr>
            <w:tcW w:type="dxa" w:w="2016"/>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Mid-Scale (100 users)</w:t>
            </w:r>
          </w:p>
        </w:tc>
        <w:tc>
          <w:tcPr>
            <w:tcW w:type="dxa" w:w="2016"/>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Growth (500 users)</w:t>
            </w:r>
          </w:p>
        </w:tc>
      </w:tr>
      <w:tr>
        <w:tc>
          <w:tcPr>
            <w:tcW w:type="dxa" w:w="259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Vercel Pro</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KES 2,590 ($20)</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KES 5,180 ($40)</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KES 5,180 ($40)</w:t>
            </w:r>
          </w:p>
        </w:tc>
      </w:tr>
      <w:tr>
        <w:tc>
          <w:tcPr>
            <w:tcW w:type="dxa" w:w="259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Supabase Pro</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KES 3,240 ($25)</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KES 4,535 ($35)</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KES 10,360 ($80)</w:t>
            </w:r>
          </w:p>
        </w:tc>
      </w:tr>
      <w:tr>
        <w:tc>
          <w:tcPr>
            <w:tcW w:type="dxa" w:w="259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Premium Mapping API</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KES 0 (free tier)</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KES 2,590 ($20)</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KES 19,425 ($150)</w:t>
            </w:r>
          </w:p>
        </w:tc>
      </w:tr>
      <w:tr>
        <w:tc>
          <w:tcPr>
            <w:tcW w:type="dxa" w:w="259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AI Engine</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KES 1,036 ($8)</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KES 5,180 ($40)</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KES 25,900 ($200)</w:t>
            </w:r>
          </w:p>
        </w:tc>
      </w:tr>
      <w:tr>
        <w:tc>
          <w:tcPr>
            <w:tcW w:type="dxa" w:w="259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Email (Resend)</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KES 0 (free tier)</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KES 2,590 ($20)</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KES 11,655 ($90)</w:t>
            </w:r>
          </w:p>
        </w:tc>
      </w:tr>
      <w:tr>
        <w:tc>
          <w:tcPr>
            <w:tcW w:type="dxa" w:w="259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Domain (amortized)</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KES 195 (~$1.50)</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KES 195 (~$1.50)</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KES 648 ($5)</w:t>
            </w:r>
          </w:p>
        </w:tc>
      </w:tr>
      <w:tr>
        <w:tc>
          <w:tcPr>
            <w:tcW w:type="dxa" w:w="259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TOTAL (KES)</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~KES 7,061</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~KES 20,270</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~KES 73,168</w:t>
            </w:r>
          </w:p>
        </w:tc>
      </w:tr>
      <w:tr>
        <w:tc>
          <w:tcPr>
            <w:tcW w:type="dxa" w:w="259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TOTAL (USD)</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~$55</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~$157</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~$565</w:t>
            </w:r>
          </w:p>
        </w:tc>
      </w:tr>
    </w:tbl>
    <w:p/>
    <w:p>
      <w:pPr>
        <w:spacing w:before="240" w:after="80"/>
      </w:pPr>
      <w:r>
        <w:rPr>
          <w:b/>
          <w:color w:val="18181B"/>
          <w:sz w:val="26"/>
          <w:u w:val="single"/>
        </w:rPr>
        <w:t>6.2  Payment Infrastructure</w:t>
      </w:r>
    </w:p>
    <w:tbl>
      <w:tblPr>
        <w:tblStyle w:val="TableGrid"/>
        <w:tblW w:type="auto" w:w="0"/>
        <w:tblLook w:firstColumn="1" w:firstRow="1" w:lastColumn="0" w:lastRow="0" w:noHBand="0" w:noVBand="1" w:val="04A0"/>
      </w:tblPr>
      <w:tblGrid>
        <w:gridCol w:w="2351"/>
        <w:gridCol w:w="2351"/>
        <w:gridCol w:w="2351"/>
        <w:gridCol w:w="2351"/>
      </w:tblGrid>
      <w:tr>
        <w:tc>
          <w:tcPr>
            <w:tcW w:type="dxa" w:w="1728"/>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Gateway</w:t>
            </w:r>
          </w:p>
        </w:tc>
        <w:tc>
          <w:tcPr>
            <w:tcW w:type="dxa" w:w="2304"/>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Transaction Fee</w:t>
            </w:r>
          </w:p>
        </w:tc>
        <w:tc>
          <w:tcPr>
            <w:tcW w:type="dxa" w:w="2592"/>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Use Case</w:t>
            </w:r>
          </w:p>
        </w:tc>
        <w:tc>
          <w:tcPr>
            <w:tcW w:type="dxa" w:w="2016"/>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Notes</w:t>
            </w:r>
          </w:p>
        </w:tc>
      </w:tr>
      <w:tr>
        <w:tc>
          <w:tcPr>
            <w:tcW w:type="dxa" w:w="172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Paystack</w:t>
            </w:r>
          </w:p>
        </w:tc>
        <w:tc>
          <w:tcPr>
            <w:tcW w:type="dxa" w:w="2304"/>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1.95% local / 3.8% intl</w:t>
            </w:r>
          </w:p>
        </w:tc>
        <w:tc>
          <w:tcPr>
            <w:tcW w:type="dxa" w:w="259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Monthly/annual card subscriptions</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Stripe-owned; best Kenyan DX; KES subscriptions supported; T+1 settlement</w:t>
            </w:r>
          </w:p>
        </w:tc>
      </w:tr>
      <w:tr>
        <w:tc>
          <w:tcPr>
            <w:tcW w:type="dxa" w:w="172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M-Pesa (Daraja 3.0)</w:t>
            </w:r>
          </w:p>
        </w:tc>
        <w:tc>
          <w:tcPr>
            <w:tcW w:type="dxa" w:w="2304"/>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~0.5% capped KES 200</w:t>
            </w:r>
          </w:p>
        </w:tc>
        <w:tc>
          <w:tcPr>
            <w:tcW w:type="dxa" w:w="259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One-time top-ups, add-on credits</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Safaricom Daraja 3.0 (Nov 2025); STK Push; no customer fee</w:t>
            </w:r>
          </w:p>
        </w:tc>
      </w:tr>
      <w:tr>
        <w:tc>
          <w:tcPr>
            <w:tcW w:type="dxa" w:w="172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Wise Invoice</w:t>
            </w:r>
          </w:p>
        </w:tc>
        <w:tc>
          <w:tcPr>
            <w:tcW w:type="dxa" w:w="2304"/>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~0.5–1% transfer fee</w:t>
            </w:r>
          </w:p>
        </w:tc>
        <w:tc>
          <w:tcPr>
            <w:tcW w:type="dxa" w:w="259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Diaspora / USD annual contracts</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For international clients paying in USD</w:t>
            </w:r>
          </w:p>
        </w:tc>
      </w:tr>
      <w:tr>
        <w:tc>
          <w:tcPr>
            <w:tcW w:type="dxa" w:w="172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Stripe</w:t>
            </w:r>
          </w:p>
        </w:tc>
        <w:tc>
          <w:tcPr>
            <w:tcW w:type="dxa" w:w="2304"/>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w:t>
            </w:r>
          </w:p>
        </w:tc>
        <w:tc>
          <w:tcPr>
            <w:tcW w:type="dxa" w:w="259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NOT recommended</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Stripe does not support Kenyan merchant accounts — accounts get frozen</w:t>
            </w:r>
          </w:p>
        </w:tc>
      </w:tr>
    </w:tbl>
    <w:p/>
    <w:p>
      <w:pPr>
        <w:spacing w:before="240" w:after="80"/>
      </w:pPr>
      <w:r>
        <w:rPr>
          <w:b/>
          <w:color w:val="18181B"/>
          <w:sz w:val="26"/>
          <w:u w:val="single"/>
        </w:rPr>
        <w:t>6.3  Gross Margin at 100 Paying Accounts</w:t>
      </w:r>
    </w:p>
    <w:p>
      <w:pPr>
        <w:spacing w:after="80"/>
      </w:pPr>
      <w:r>
        <w:rPr>
          <w:color w:val="18181B"/>
          <w:sz w:val="20"/>
        </w:rPr>
        <w:t>Illustrative mix: 60 Solo + 30 Team + 10 Corporate</w:t>
      </w:r>
    </w:p>
    <w:tbl>
      <w:tblPr>
        <w:tblStyle w:val="TableGrid"/>
        <w:tblW w:type="auto" w:w="0"/>
        <w:tblLook w:firstColumn="1" w:firstRow="1" w:lastColumn="0" w:lastRow="0" w:noHBand="0" w:noVBand="1" w:val="04A0"/>
      </w:tblPr>
      <w:tblGrid>
        <w:gridCol w:w="2351"/>
        <w:gridCol w:w="2351"/>
        <w:gridCol w:w="2351"/>
        <w:gridCol w:w="2351"/>
      </w:tblGrid>
      <w:tr>
        <w:tc>
          <w:tcPr>
            <w:tcW w:type="dxa" w:w="3456"/>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Segment</w:t>
            </w:r>
          </w:p>
        </w:tc>
        <w:tc>
          <w:tcPr>
            <w:tcW w:type="dxa" w:w="2016"/>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Revenue (KES)</w:t>
            </w:r>
          </w:p>
        </w:tc>
        <w:tc>
          <w:tcPr>
            <w:tcW w:type="dxa" w:w="2016"/>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COGS (KES)</w:t>
            </w:r>
          </w:p>
        </w:tc>
        <w:tc>
          <w:tcPr>
            <w:tcW w:type="dxa" w:w="1152"/>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Margin</w:t>
            </w:r>
          </w:p>
        </w:tc>
      </w:tr>
      <w:tr>
        <w:tc>
          <w:tcPr>
            <w:tcW w:type="dxa" w:w="345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60 × Solo @ 1,500</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90,000</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7,800</w:t>
            </w:r>
          </w:p>
        </w:tc>
        <w:tc>
          <w:tcPr>
            <w:tcW w:type="dxa" w:w="115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91%</w:t>
            </w:r>
          </w:p>
        </w:tc>
      </w:tr>
      <w:tr>
        <w:tc>
          <w:tcPr>
            <w:tcW w:type="dxa" w:w="345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30 × Team @ 5,500</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165,000</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33,150</w:t>
            </w:r>
          </w:p>
        </w:tc>
        <w:tc>
          <w:tcPr>
            <w:tcW w:type="dxa" w:w="115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80%</w:t>
            </w:r>
          </w:p>
        </w:tc>
      </w:tr>
      <w:tr>
        <w:tc>
          <w:tcPr>
            <w:tcW w:type="dxa" w:w="345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10 × Corporate @ 18,000</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180,000</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67,600</w:t>
            </w:r>
          </w:p>
        </w:tc>
        <w:tc>
          <w:tcPr>
            <w:tcW w:type="dxa" w:w="115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62%</w:t>
            </w:r>
          </w:p>
        </w:tc>
      </w:tr>
      <w:tr>
        <w:tc>
          <w:tcPr>
            <w:tcW w:type="dxa" w:w="345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Infrastructure floor</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20,000</w:t>
            </w:r>
          </w:p>
        </w:tc>
        <w:tc>
          <w:tcPr>
            <w:tcW w:type="dxa" w:w="115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w:t>
            </w:r>
          </w:p>
        </w:tc>
      </w:tr>
      <w:tr>
        <w:tc>
          <w:tcPr>
            <w:tcW w:type="dxa" w:w="345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Paystack fees (~1.95%)</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8,483</w:t>
            </w:r>
          </w:p>
        </w:tc>
        <w:tc>
          <w:tcPr>
            <w:tcW w:type="dxa" w:w="115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w:t>
            </w:r>
          </w:p>
        </w:tc>
      </w:tr>
      <w:tr>
        <w:tc>
          <w:tcPr>
            <w:tcW w:type="dxa" w:w="345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TOTAL</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435,000</w:t>
            </w:r>
          </w:p>
        </w:tc>
        <w:tc>
          <w:tcPr>
            <w:tcW w:type="dxa" w:w="2016"/>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137,033</w:t>
            </w:r>
          </w:p>
        </w:tc>
        <w:tc>
          <w:tcPr>
            <w:tcW w:type="dxa" w:w="115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~69%</w:t>
            </w:r>
          </w:p>
        </w:tc>
      </w:tr>
      <w:tr>
        <w:tc>
          <w:tcPr>
            <w:tcW w:type="dxa" w:w="345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Net monthly</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297,967</w:t>
            </w:r>
          </w:p>
        </w:tc>
        <w:tc>
          <w:tcPr>
            <w:tcW w:type="dxa" w:w="2016"/>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w:t>
            </w:r>
          </w:p>
        </w:tc>
        <w:tc>
          <w:tcPr>
            <w:tcW w:type="dxa" w:w="115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r>
          </w:p>
        </w:tc>
      </w:tr>
    </w:tbl>
    <w:p/>
    <w:p>
      <w:r>
        <w:br w:type="page"/>
      </w:r>
    </w:p>
    <w:p>
      <w:pPr>
        <w:spacing w:before="360" w:after="120"/>
      </w:pPr>
      <w:r>
        <w:rPr>
          <w:b/>
          <w:color w:val="10B981"/>
          <w:sz w:val="36"/>
        </w:rPr>
        <w:t>7. COMPETITIVE LANDSCAPE</w:t>
      </w:r>
    </w:p>
    <w:p>
      <w:pPr>
        <w:spacing w:before="240" w:after="80"/>
      </w:pPr>
      <w:r>
        <w:rPr>
          <w:b/>
          <w:color w:val="18181B"/>
          <w:sz w:val="26"/>
          <w:u w:val="single"/>
        </w:rPr>
        <w:t>7.1  Global Competitors</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Product</w:t>
            </w:r>
          </w:p>
        </w:tc>
        <w:tc>
          <w:tcPr>
            <w:tcW w:type="dxa" w:w="2304"/>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Entry Price (USD)</w:t>
            </w:r>
          </w:p>
        </w:tc>
        <w:tc>
          <w:tcPr>
            <w:tcW w:type="dxa" w:w="3744"/>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Key Gap vs 4unter</w:t>
            </w:r>
          </w:p>
        </w:tc>
      </w:tr>
      <w:tr>
        <w:tc>
          <w:tcPr>
            <w:tcW w:type="dxa" w:w="259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Apollo.io</w:t>
            </w:r>
          </w:p>
        </w:tc>
        <w:tc>
          <w:tcPr>
            <w:tcW w:type="dxa" w:w="2304"/>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$49/user/mo</w:t>
            </w:r>
          </w:p>
        </w:tc>
        <w:tc>
          <w:tcPr>
            <w:tcW w:type="dxa" w:w="3744"/>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No Kenya data, no WhatsApp, no Maps scraping. Requires annual contract.</w:t>
            </w:r>
          </w:p>
        </w:tc>
      </w:tr>
      <w:tr>
        <w:tc>
          <w:tcPr>
            <w:tcW w:type="dxa" w:w="259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Hunter.io</w:t>
            </w:r>
          </w:p>
        </w:tc>
        <w:tc>
          <w:tcPr>
            <w:tcW w:type="dxa" w:w="2304"/>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$34/mo (email only)</w:t>
            </w:r>
          </w:p>
        </w:tc>
        <w:tc>
          <w:tcPr>
            <w:tcW w:type="dxa" w:w="3744"/>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Email finder only — no scoring, no outreach, no Maps, no Kenyan market data.</w:t>
            </w:r>
          </w:p>
        </w:tc>
      </w:tr>
      <w:tr>
        <w:tc>
          <w:tcPr>
            <w:tcW w:type="dxa" w:w="259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Seamless.AI</w:t>
            </w:r>
          </w:p>
        </w:tc>
        <w:tc>
          <w:tcPr>
            <w:tcW w:type="dxa" w:w="2304"/>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$147/mo (250 credits)</w:t>
            </w:r>
          </w:p>
        </w:tc>
        <w:tc>
          <w:tcPr>
            <w:tcW w:type="dxa" w:w="3744"/>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US-centric contact DB. No Africa data. No AI scoring for local signals.</w:t>
            </w:r>
          </w:p>
        </w:tc>
      </w:tr>
      <w:tr>
        <w:tc>
          <w:tcPr>
            <w:tcW w:type="dxa" w:w="259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ZoomInfo</w:t>
            </w:r>
          </w:p>
        </w:tc>
        <w:tc>
          <w:tcPr>
            <w:tcW w:type="dxa" w:w="2304"/>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$14,995/yr minimum</w:t>
            </w:r>
          </w:p>
        </w:tc>
        <w:tc>
          <w:tcPr>
            <w:tcW w:type="dxa" w:w="3744"/>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Enterprise-only pricing. Zero relevance to Kenyan SMBs.</w:t>
            </w:r>
          </w:p>
        </w:tc>
      </w:tr>
      <w:tr>
        <w:tc>
          <w:tcPr>
            <w:tcW w:type="dxa" w:w="259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LinkedIn Sales Navigator</w:t>
            </w:r>
          </w:p>
        </w:tc>
        <w:tc>
          <w:tcPr>
            <w:tcW w:type="dxa" w:w="2304"/>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$99/user/mo</w:t>
            </w:r>
          </w:p>
        </w:tc>
        <w:tc>
          <w:tcPr>
            <w:tcW w:type="dxa" w:w="3744"/>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No Maps scraping, no enrichment, no AI copy. Weak Kenya business data.</w:t>
            </w:r>
          </w:p>
        </w:tc>
      </w:tr>
    </w:tbl>
    <w:p/>
    <w:p>
      <w:pPr>
        <w:spacing w:before="240" w:after="80"/>
      </w:pPr>
      <w:r>
        <w:rPr>
          <w:b/>
          <w:color w:val="18181B"/>
          <w:sz w:val="26"/>
          <w:u w:val="single"/>
        </w:rPr>
        <w:t>7.2  Kenya / Africa Landscape</w:t>
      </w:r>
    </w:p>
    <w:p>
      <w:pPr>
        <w:spacing w:after="80"/>
      </w:pPr>
      <w:r>
        <w:rPr>
          <w:color w:val="18181B"/>
          <w:sz w:val="20"/>
        </w:rPr>
        <w:t>There is no credible dedicated lead intelligence SaaS targeting Kenyan SMBs with Maps scraping + AI scoring. The closest competitors are:</w:t>
      </w:r>
    </w:p>
    <w:p>
      <w:pPr>
        <w:pStyle w:val="ListBullet"/>
        <w:spacing w:after="40"/>
        <w:ind w:left="432"/>
      </w:pPr>
      <w:r>
        <w:rPr>
          <w:color w:val="18181B"/>
          <w:sz w:val="20"/>
        </w:rPr>
        <w:t>Manual scraping freelancers (KES 5,000–15,000 per batch, one-time, no AI)</w:t>
      </w:r>
    </w:p>
    <w:p>
      <w:pPr>
        <w:pStyle w:val="ListBullet"/>
        <w:spacing w:after="40"/>
        <w:ind w:left="432"/>
      </w:pPr>
      <w:r>
        <w:rPr>
          <w:color w:val="18181B"/>
          <w:sz w:val="20"/>
        </w:rPr>
        <w:t>Facebook/Meta Lead Ads (CPM-based reach, not a data tool)</w:t>
      </w:r>
    </w:p>
    <w:p>
      <w:pPr>
        <w:pStyle w:val="ListBullet"/>
        <w:spacing w:after="40"/>
        <w:ind w:left="432"/>
      </w:pPr>
      <w:r>
        <w:rPr>
          <w:color w:val="18181B"/>
          <w:sz w:val="20"/>
        </w:rPr>
        <w:t>Greydale Africa (lead gen agency, custom pricing, not SaaS)</w:t>
      </w:r>
    </w:p>
    <w:p>
      <w:pPr>
        <w:pStyle w:val="ListBullet"/>
        <w:spacing w:after="40"/>
        <w:ind w:left="432"/>
      </w:pPr>
      <w:r>
        <w:rPr>
          <w:color w:val="18181B"/>
          <w:sz w:val="20"/>
        </w:rPr>
        <w:t>Africa's Talking / Infobip (messaging infrastructure, not lead intelligence)</w:t>
      </w:r>
    </w:p>
    <w:p>
      <w:pPr>
        <w:spacing w:after="80"/>
      </w:pPr>
      <w:r>
        <w:rPr>
          <w:color w:val="18181B"/>
          <w:sz w:val="20"/>
        </w:rPr>
        <w:t>Gap confirmed: 4unter has no direct SaaS competitor in the Kenyan SMB lead intelligence space.</w:t>
      </w:r>
    </w:p>
    <w:p>
      <w:pPr>
        <w:spacing w:before="240" w:after="80"/>
      </w:pPr>
      <w:r>
        <w:rPr>
          <w:b/>
          <w:color w:val="18181B"/>
          <w:sz w:val="26"/>
          <w:u w:val="single"/>
        </w:rPr>
        <w:t>7.3  Willingness to Pay (Kenya)</w:t>
      </w:r>
    </w:p>
    <w:tbl>
      <w:tblPr>
        <w:tblStyle w:val="TableGrid"/>
        <w:tblW w:type="auto" w:w="0"/>
        <w:tblLook w:firstColumn="1" w:firstRow="1" w:lastColumn="0" w:lastRow="0" w:noHBand="0" w:noVBand="1" w:val="04A0"/>
      </w:tblPr>
      <w:tblGrid>
        <w:gridCol w:w="2351"/>
        <w:gridCol w:w="2351"/>
        <w:gridCol w:w="2351"/>
        <w:gridCol w:w="2351"/>
      </w:tblGrid>
      <w:tr>
        <w:tc>
          <w:tcPr>
            <w:tcW w:type="dxa" w:w="2880"/>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Segment</w:t>
            </w:r>
          </w:p>
        </w:tc>
        <w:tc>
          <w:tcPr>
            <w:tcW w:type="dxa" w:w="2160"/>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Typical WTP/Month</w:t>
            </w:r>
          </w:p>
        </w:tc>
        <w:tc>
          <w:tcPr>
            <w:tcW w:type="dxa" w:w="2160"/>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4unter Price</w:t>
            </w:r>
          </w:p>
        </w:tc>
        <w:tc>
          <w:tcPr>
            <w:tcW w:type="dxa" w:w="1440"/>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Position</w:t>
            </w:r>
          </w:p>
        </w:tc>
      </w:tr>
      <w:tr>
        <w:tc>
          <w:tcPr>
            <w:tcW w:type="dxa" w:w="288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Micro-business (1–5 staff)</w:t>
            </w:r>
          </w:p>
        </w:tc>
        <w:tc>
          <w:tcPr>
            <w:tcW w:type="dxa" w:w="216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KES 500–1,500</w:t>
            </w:r>
          </w:p>
        </w:tc>
        <w:tc>
          <w:tcPr>
            <w:tcW w:type="dxa" w:w="216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KES 1,500 Solo</w:t>
            </w:r>
          </w:p>
        </w:tc>
        <w:tc>
          <w:tcPr>
            <w:tcW w:type="dxa" w:w="144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At upper end — needs clear ROI pitch</w:t>
            </w:r>
          </w:p>
        </w:tc>
      </w:tr>
      <w:tr>
        <w:tc>
          <w:tcPr>
            <w:tcW w:type="dxa" w:w="288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SMB (5–50 staff)</w:t>
            </w:r>
          </w:p>
        </w:tc>
        <w:tc>
          <w:tcPr>
            <w:tcW w:type="dxa" w:w="216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KES 2,000–8,000</w:t>
            </w:r>
          </w:p>
        </w:tc>
        <w:tc>
          <w:tcPr>
            <w:tcW w:type="dxa" w:w="216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KES 5,500 Team</w:t>
            </w:r>
          </w:p>
        </w:tc>
        <w:tc>
          <w:tcPr>
            <w:tcW w:type="dxa" w:w="144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Middle of range — strong value</w:t>
            </w:r>
          </w:p>
        </w:tc>
      </w:tr>
      <w:tr>
        <w:tc>
          <w:tcPr>
            <w:tcW w:type="dxa" w:w="288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Mid-market (50–200 staff)</w:t>
            </w:r>
          </w:p>
        </w:tc>
        <w:tc>
          <w:tcPr>
            <w:tcW w:type="dxa" w:w="216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KES 10,000–30,000</w:t>
            </w:r>
          </w:p>
        </w:tc>
        <w:tc>
          <w:tcPr>
            <w:tcW w:type="dxa" w:w="216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KES 18,000 Corporate</w:t>
            </w:r>
          </w:p>
        </w:tc>
        <w:tc>
          <w:tcPr>
            <w:tcW w:type="dxa" w:w="144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Middle of range — excellent value</w:t>
            </w:r>
          </w:p>
        </w:tc>
      </w:tr>
      <w:tr>
        <w:tc>
          <w:tcPr>
            <w:tcW w:type="dxa" w:w="288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Corporate (200+ staff)</w:t>
            </w:r>
          </w:p>
        </w:tc>
        <w:tc>
          <w:tcPr>
            <w:tcW w:type="dxa" w:w="216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KES 30,000+</w:t>
            </w:r>
          </w:p>
        </w:tc>
        <w:tc>
          <w:tcPr>
            <w:tcW w:type="dxa" w:w="216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Custom</w:t>
            </w:r>
          </w:p>
        </w:tc>
        <w:tc>
          <w:tcPr>
            <w:tcW w:type="dxa" w:w="144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Custom enterprise contracts</w:t>
            </w:r>
          </w:p>
        </w:tc>
      </w:tr>
    </w:tbl>
    <w:p/>
    <w:p>
      <w:r>
        <w:br w:type="page"/>
      </w:r>
    </w:p>
    <w:p>
      <w:pPr>
        <w:spacing w:before="360" w:after="120"/>
      </w:pPr>
      <w:r>
        <w:rPr>
          <w:b/>
          <w:color w:val="10B981"/>
          <w:sz w:val="36"/>
        </w:rPr>
        <w:t>8. GO-TO-MARKET STRATEGY</w:t>
      </w:r>
    </w:p>
    <w:p>
      <w:pPr>
        <w:spacing w:before="240" w:after="80"/>
      </w:pPr>
      <w:r>
        <w:rPr>
          <w:b/>
          <w:color w:val="18181B"/>
          <w:sz w:val="26"/>
          <w:u w:val="single"/>
        </w:rPr>
        <w:t>8.1  Primary Channel: Hunter Outreach</w:t>
      </w:r>
    </w:p>
    <w:p>
      <w:pPr>
        <w:spacing w:after="80"/>
      </w:pPr>
      <w:r>
        <w:rPr>
          <w:color w:val="18181B"/>
          <w:sz w:val="20"/>
        </w:rPr>
        <w:t>The product sells itself — use 4unter to generate and close its own customers. Target Nairobi-based sales managers, founders, and agencies using the tool's own discovery pipeline.</w:t>
      </w:r>
    </w:p>
    <w:p>
      <w:pPr>
        <w:pStyle w:val="ListBullet"/>
        <w:spacing w:after="40"/>
        <w:ind w:left="432"/>
      </w:pPr>
      <w:r>
        <w:rPr>
          <w:color w:val="18181B"/>
          <w:sz w:val="20"/>
        </w:rPr>
        <w:t>Discovery: Use 4unter to scrape 'sales consultants', 'marketing agencies', 'business development' across Nairobi, Mombasa, Kisumu</w:t>
      </w:r>
    </w:p>
    <w:p>
      <w:pPr>
        <w:pStyle w:val="ListBullet"/>
        <w:spacing w:after="40"/>
        <w:ind w:left="432"/>
      </w:pPr>
      <w:r>
        <w:rPr>
          <w:color w:val="18181B"/>
          <w:sz w:val="20"/>
        </w:rPr>
        <w:t>Enrichment + Score: Identify leads with weak outreach infrastructure (no CRM mentions, manual pipeline tools)</w:t>
      </w:r>
    </w:p>
    <w:p>
      <w:pPr>
        <w:pStyle w:val="ListBullet"/>
        <w:spacing w:after="40"/>
        <w:ind w:left="432"/>
      </w:pPr>
      <w:r>
        <w:rPr>
          <w:color w:val="18181B"/>
          <w:sz w:val="20"/>
        </w:rPr>
        <w:t>Outreach: Send WhatsApp opener using 4unter's own generated copy</w:t>
      </w:r>
    </w:p>
    <w:p>
      <w:pPr>
        <w:pStyle w:val="ListBullet"/>
        <w:spacing w:after="40"/>
        <w:ind w:left="432"/>
      </w:pPr>
      <w:r>
        <w:rPr>
          <w:color w:val="18181B"/>
          <w:sz w:val="20"/>
        </w:rPr>
        <w:t>Estimated CAC: ~KES 0 hard cost (time only during Hunter outreach phase)</w:t>
      </w:r>
    </w:p>
    <w:p>
      <w:pPr>
        <w:pStyle w:val="ListBullet"/>
        <w:spacing w:after="40"/>
        <w:ind w:left="432"/>
      </w:pPr>
      <w:r>
        <w:rPr>
          <w:color w:val="18181B"/>
          <w:sz w:val="20"/>
        </w:rPr>
        <w:t>Expected reply rate: 8–15% (WhatsApp cold outreach, Kenyan SMBs)</w:t>
      </w:r>
    </w:p>
    <w:p>
      <w:pPr>
        <w:pStyle w:val="ListBullet"/>
        <w:spacing w:after="40"/>
        <w:ind w:left="432"/>
      </w:pPr>
      <w:r>
        <w:rPr>
          <w:color w:val="18181B"/>
          <w:sz w:val="20"/>
        </w:rPr>
        <w:t>Expected trial conversion: 20–30% of replies</w:t>
      </w:r>
    </w:p>
    <w:p>
      <w:pPr>
        <w:pStyle w:val="ListBullet"/>
        <w:spacing w:after="40"/>
        <w:ind w:left="432"/>
      </w:pPr>
      <w:r>
        <w:rPr>
          <w:color w:val="18181B"/>
          <w:sz w:val="20"/>
        </w:rPr>
        <w:t>Expected paid conversion: 20–30% of trials</w:t>
      </w:r>
    </w:p>
    <w:p>
      <w:pPr>
        <w:pStyle w:val="ListBullet"/>
        <w:spacing w:after="40"/>
        <w:ind w:left="432"/>
      </w:pPr>
      <w:r>
        <w:rPr>
          <w:color w:val="18181B"/>
          <w:sz w:val="20"/>
        </w:rPr>
        <w:t>Effective: 500 outreaches → ~3 paying customers</w:t>
      </w:r>
    </w:p>
    <w:p>
      <w:pPr>
        <w:spacing w:before="240" w:after="80"/>
      </w:pPr>
      <w:r>
        <w:rPr>
          <w:b/>
          <w:color w:val="18181B"/>
          <w:sz w:val="26"/>
          <w:u w:val="single"/>
        </w:rPr>
        <w:t>8.2  Workshop Funnel</w:t>
      </w:r>
    </w:p>
    <w:p>
      <w:pPr>
        <w:pStyle w:val="ListBullet"/>
        <w:spacing w:after="40"/>
        <w:ind w:left="432"/>
      </w:pPr>
      <w:r>
        <w:rPr>
          <w:color w:val="18181B"/>
          <w:sz w:val="20"/>
        </w:rPr>
        <w:t>Weekly 'Find 50 Leads in 30 Minutes' workshop — free or KES 500 entry</w:t>
      </w:r>
    </w:p>
    <w:p>
      <w:pPr>
        <w:pStyle w:val="ListBullet"/>
        <w:spacing w:after="40"/>
        <w:ind w:left="432"/>
      </w:pPr>
      <w:r>
        <w:rPr>
          <w:color w:val="18181B"/>
          <w:sz w:val="20"/>
        </w:rPr>
        <w:t>Live demo: scrape → enrich → score → copy in real time</w:t>
      </w:r>
    </w:p>
    <w:p>
      <w:pPr>
        <w:pStyle w:val="ListBullet"/>
        <w:spacing w:after="40"/>
        <w:ind w:left="432"/>
      </w:pPr>
      <w:r>
        <w:rPr>
          <w:color w:val="18181B"/>
          <w:sz w:val="20"/>
        </w:rPr>
        <w:t>Every attendee receives 30-day Solo trial</w:t>
      </w:r>
    </w:p>
    <w:p>
      <w:pPr>
        <w:pStyle w:val="ListBullet"/>
        <w:spacing w:after="40"/>
        <w:ind w:left="432"/>
      </w:pPr>
      <w:r>
        <w:rPr>
          <w:color w:val="18181B"/>
          <w:sz w:val="20"/>
        </w:rPr>
        <w:t>Target conversion: 20–30% to paid within 30 days</w:t>
      </w:r>
    </w:p>
    <w:p>
      <w:pPr>
        <w:pStyle w:val="ListBullet"/>
        <w:spacing w:after="40"/>
        <w:ind w:left="432"/>
      </w:pPr>
      <w:r>
        <w:rPr>
          <w:color w:val="18181B"/>
          <w:sz w:val="20"/>
        </w:rPr>
        <w:t>Workshop format: Thursday 6–7:30 PM EAT, Zoom, 25 seats max</w:t>
      </w:r>
    </w:p>
    <w:p>
      <w:pPr>
        <w:spacing w:before="240" w:after="80"/>
      </w:pPr>
      <w:r>
        <w:rPr>
          <w:b/>
          <w:color w:val="18181B"/>
          <w:sz w:val="26"/>
          <w:u w:val="single"/>
        </w:rPr>
        <w:t>8.3  Content + Referral</w:t>
      </w:r>
    </w:p>
    <w:p>
      <w:pPr>
        <w:pStyle w:val="ListBullet"/>
        <w:spacing w:after="40"/>
        <w:ind w:left="432"/>
      </w:pPr>
      <w:r>
        <w:rPr>
          <w:color w:val="18181B"/>
          <w:sz w:val="20"/>
        </w:rPr>
        <w:t>LinkedIn short-form content: before/after demos, KPI proof (cost per lead, time saved)</w:t>
      </w:r>
    </w:p>
    <w:p>
      <w:pPr>
        <w:pStyle w:val="ListBullet"/>
        <w:spacing w:after="40"/>
        <w:ind w:left="432"/>
      </w:pPr>
      <w:r>
        <w:rPr>
          <w:color w:val="18181B"/>
          <w:sz w:val="20"/>
        </w:rPr>
        <w:t>Referral loop: existing user refers → both get 50 bonus lead credits</w:t>
      </w:r>
    </w:p>
    <w:p>
      <w:pPr>
        <w:pStyle w:val="ListBullet"/>
        <w:spacing w:after="40"/>
        <w:ind w:left="432"/>
      </w:pPr>
      <w:r>
        <w:rPr>
          <w:color w:val="18181B"/>
          <w:sz w:val="20"/>
        </w:rPr>
        <w:t>Workshop testimonials → social proof for sign-up page</w:t>
      </w:r>
    </w:p>
    <w:p>
      <w:pPr>
        <w:pStyle w:val="ListBullet"/>
        <w:spacing w:after="40"/>
        <w:ind w:left="432"/>
      </w:pPr>
      <w:r>
        <w:rPr>
          <w:color w:val="18181B"/>
          <w:sz w:val="20"/>
        </w:rPr>
        <w:t>Dullu Digital brand positioning: 'We use Hunter daily for our own AI automation pipeline'</w:t>
      </w:r>
    </w:p>
    <w:p>
      <w:r>
        <w:br w:type="page"/>
      </w:r>
    </w:p>
    <w:p>
      <w:pPr>
        <w:spacing w:before="360" w:after="120"/>
      </w:pPr>
      <w:r>
        <w:rPr>
          <w:b/>
          <w:color w:val="10B981"/>
          <w:sz w:val="36"/>
        </w:rPr>
        <w:t>9. PRODUCT ROADMAP</w:t>
      </w:r>
    </w:p>
    <w:p>
      <w:pPr>
        <w:spacing w:before="240" w:after="80"/>
      </w:pPr>
      <w:r>
        <w:rPr>
          <w:b/>
          <w:color w:val="18181B"/>
          <w:sz w:val="26"/>
          <w:u w:val="single"/>
        </w:rPr>
        <w:t>9.1  Now (Live in Production)</w:t>
      </w:r>
    </w:p>
    <w:p>
      <w:pPr>
        <w:pStyle w:val="ListBullet"/>
        <w:spacing w:after="40"/>
        <w:ind w:left="432"/>
      </w:pPr>
      <w:r>
        <w:rPr>
          <w:color w:val="18181B"/>
          <w:sz w:val="20"/>
        </w:rPr>
        <w:t>Full 4-stage pipeline: Discover → Enrich → Score → Outreach</w:t>
      </w:r>
    </w:p>
    <w:p>
      <w:pPr>
        <w:pStyle w:val="ListBullet"/>
        <w:spacing w:after="40"/>
        <w:ind w:left="432"/>
      </w:pPr>
      <w:r>
        <w:rPr>
          <w:color w:val="18181B"/>
          <w:sz w:val="20"/>
        </w:rPr>
        <w:t>36 Kenyan verticals, dual-source discovery</w:t>
      </w:r>
    </w:p>
    <w:p>
      <w:pPr>
        <w:pStyle w:val="ListBullet"/>
        <w:spacing w:after="40"/>
        <w:ind w:left="432"/>
      </w:pPr>
      <w:r>
        <w:rPr>
          <w:color w:val="18181B"/>
          <w:sz w:val="20"/>
        </w:rPr>
        <w:t>Enrichment v2: phones, social profiles, opportunity score, vertical-aware signals</w:t>
      </w:r>
    </w:p>
    <w:p>
      <w:pPr>
        <w:pStyle w:val="ListBullet"/>
        <w:spacing w:after="40"/>
        <w:ind w:left="432"/>
      </w:pPr>
      <w:r>
        <w:rPr>
          <w:color w:val="18181B"/>
          <w:sz w:val="20"/>
        </w:rPr>
        <w:t>Corporate accounts: multi-seat, invites, domain auto-join, suspend/reinstate</w:t>
      </w:r>
    </w:p>
    <w:p>
      <w:pPr>
        <w:pStyle w:val="ListBullet"/>
        <w:spacing w:after="40"/>
        <w:ind w:left="432"/>
      </w:pPr>
      <w:r>
        <w:rPr>
          <w:color w:val="18181B"/>
          <w:sz w:val="20"/>
        </w:rPr>
        <w:t>Stripe billing: 3 plans (Starter KES 5K / Growth KES 12K / Enterprise KES 25K) + payment ledger</w:t>
      </w:r>
    </w:p>
    <w:p>
      <w:pPr>
        <w:pStyle w:val="ListBullet"/>
        <w:spacing w:after="40"/>
        <w:ind w:left="432"/>
      </w:pPr>
      <w:r>
        <w:rPr>
          <w:color w:val="18181B"/>
          <w:sz w:val="20"/>
        </w:rPr>
        <w:t>Kenya DPA compliance: consent audit trail, KRA PIN, company reg</w:t>
      </w:r>
    </w:p>
    <w:p>
      <w:pPr>
        <w:pStyle w:val="ListBullet"/>
        <w:spacing w:after="40"/>
        <w:ind w:left="432"/>
      </w:pPr>
      <w:r>
        <w:rPr>
          <w:color w:val="18181B"/>
          <w:sz w:val="20"/>
        </w:rPr>
        <w:t>Deferred DB writes: org created only after email confirmation</w:t>
      </w:r>
    </w:p>
    <w:p>
      <w:pPr>
        <w:pStyle w:val="ListBullet"/>
        <w:spacing w:after="40"/>
        <w:ind w:left="432"/>
      </w:pPr>
      <w:r>
        <w:rPr>
          <w:color w:val="18181B"/>
          <w:sz w:val="20"/>
        </w:rPr>
        <w:t>Workshop registration page + API</w:t>
      </w:r>
    </w:p>
    <w:p>
      <w:pPr>
        <w:pStyle w:val="ListBullet"/>
        <w:spacing w:after="40"/>
        <w:ind w:left="432"/>
      </w:pPr>
      <w:r>
        <w:rPr>
          <w:color w:val="18181B"/>
          <w:sz w:val="20"/>
        </w:rPr>
        <w:t>PWA: installable as mobile app</w:t>
      </w:r>
    </w:p>
    <w:p>
      <w:pPr>
        <w:spacing w:before="240" w:after="80"/>
      </w:pPr>
      <w:r>
        <w:rPr>
          <w:b/>
          <w:color w:val="18181B"/>
          <w:sz w:val="26"/>
          <w:u w:val="single"/>
        </w:rPr>
        <w:t>9.2  Next 30 Days</w:t>
      </w:r>
    </w:p>
    <w:p>
      <w:pPr>
        <w:pStyle w:val="ListBullet"/>
        <w:spacing w:after="40"/>
        <w:ind w:left="432"/>
      </w:pPr>
      <w:r>
        <w:rPr>
          <w:color w:val="18181B"/>
          <w:sz w:val="20"/>
        </w:rPr>
        <w:t>Switch payment stack from Stripe to Paystack (Stripe not available for Kenyan merchants)</w:t>
      </w:r>
    </w:p>
    <w:p>
      <w:pPr>
        <w:pStyle w:val="ListBullet"/>
        <w:spacing w:after="40"/>
        <w:ind w:left="432"/>
      </w:pPr>
      <w:r>
        <w:rPr>
          <w:color w:val="18181B"/>
          <w:sz w:val="20"/>
        </w:rPr>
        <w:t>M-Pesa STK Push for add-on credit top-ups via Daraja 3.0</w:t>
      </w:r>
    </w:p>
    <w:p>
      <w:pPr>
        <w:pStyle w:val="ListBullet"/>
        <w:spacing w:after="40"/>
        <w:ind w:left="432"/>
      </w:pPr>
      <w:r>
        <w:rPr>
          <w:color w:val="18181B"/>
          <w:sz w:val="20"/>
        </w:rPr>
        <w:t>Resend for transactional email (replace Supabase built-in SMTP)</w:t>
      </w:r>
    </w:p>
    <w:p>
      <w:pPr>
        <w:pStyle w:val="ListBullet"/>
        <w:spacing w:after="40"/>
        <w:ind w:left="432"/>
      </w:pPr>
      <w:r>
        <w:rPr>
          <w:color w:val="18181B"/>
          <w:sz w:val="20"/>
        </w:rPr>
        <w:t>/api/health endpoint for uptime monitoring</w:t>
      </w:r>
    </w:p>
    <w:p>
      <w:pPr>
        <w:pStyle w:val="ListBullet"/>
        <w:spacing w:after="40"/>
        <w:ind w:left="432"/>
      </w:pPr>
      <w:r>
        <w:rPr>
          <w:color w:val="18181B"/>
          <w:sz w:val="20"/>
        </w:rPr>
        <w:t>Background job timeout + heartbeat (scrape jobs capped at 250s)</w:t>
      </w:r>
    </w:p>
    <w:p>
      <w:pPr>
        <w:pStyle w:val="ListBullet"/>
        <w:spacing w:after="40"/>
        <w:ind w:left="432"/>
      </w:pPr>
      <w:r>
        <w:rPr>
          <w:color w:val="18181B"/>
          <w:sz w:val="20"/>
        </w:rPr>
        <w:t>Missing DB indexes: (org_id, status) on scrape_jobs; (org_id, stage) on leads</w:t>
      </w:r>
    </w:p>
    <w:p>
      <w:pPr>
        <w:pStyle w:val="ListBullet"/>
        <w:spacing w:after="40"/>
        <w:ind w:left="432"/>
      </w:pPr>
      <w:r>
        <w:rPr>
          <w:color w:val="18181B"/>
          <w:sz w:val="20"/>
        </w:rPr>
        <w:t>Analytics route pagination (current full-table scan risk)</w:t>
      </w:r>
    </w:p>
    <w:p>
      <w:pPr>
        <w:spacing w:before="240" w:after="80"/>
      </w:pPr>
      <w:r>
        <w:rPr>
          <w:b/>
          <w:color w:val="18181B"/>
          <w:sz w:val="26"/>
          <w:u w:val="single"/>
        </w:rPr>
        <w:t>9.3  Next 90 Days</w:t>
      </w:r>
    </w:p>
    <w:p>
      <w:pPr>
        <w:pStyle w:val="ListBullet"/>
        <w:spacing w:after="40"/>
        <w:ind w:left="432"/>
      </w:pPr>
      <w:r>
        <w:rPr>
          <w:color w:val="18181B"/>
          <w:sz w:val="20"/>
        </w:rPr>
        <w:t>Zapier integration (Corporate tier)</w:t>
      </w:r>
    </w:p>
    <w:p>
      <w:pPr>
        <w:pStyle w:val="ListBullet"/>
        <w:spacing w:after="40"/>
        <w:ind w:left="432"/>
      </w:pPr>
      <w:r>
        <w:rPr>
          <w:color w:val="18181B"/>
          <w:sz w:val="20"/>
        </w:rPr>
        <w:t>WhatsApp Business API direct send (own API key)</w:t>
      </w:r>
    </w:p>
    <w:p>
      <w:pPr>
        <w:pStyle w:val="ListBullet"/>
        <w:spacing w:after="40"/>
        <w:ind w:left="432"/>
      </w:pPr>
      <w:r>
        <w:rPr>
          <w:color w:val="18181B"/>
          <w:sz w:val="20"/>
        </w:rPr>
        <w:t>Google Sheets sync export (Team + Corporate)</w:t>
      </w:r>
    </w:p>
    <w:p>
      <w:pPr>
        <w:pStyle w:val="ListBullet"/>
        <w:spacing w:after="40"/>
        <w:ind w:left="432"/>
      </w:pPr>
      <w:r>
        <w:rPr>
          <w:color w:val="18181B"/>
          <w:sz w:val="20"/>
        </w:rPr>
        <w:t>Credit enforcement: gate scoring/outreach on credits_used &lt; credits_total</w:t>
      </w:r>
    </w:p>
    <w:p>
      <w:pPr>
        <w:pStyle w:val="ListBullet"/>
        <w:spacing w:after="40"/>
        <w:ind w:left="432"/>
      </w:pPr>
      <w:r>
        <w:rPr>
          <w:color w:val="18181B"/>
          <w:sz w:val="20"/>
        </w:rPr>
        <w:t>Proactive credit warning emails at 80% utilisation</w:t>
      </w:r>
    </w:p>
    <w:p>
      <w:pPr>
        <w:pStyle w:val="ListBullet"/>
        <w:spacing w:after="40"/>
        <w:ind w:left="432"/>
      </w:pPr>
      <w:r>
        <w:rPr>
          <w:color w:val="18181B"/>
          <w:sz w:val="20"/>
        </w:rPr>
        <w:t>Row-level credit deduction via Postgres function (prevent double-spend)</w:t>
      </w:r>
    </w:p>
    <w:p>
      <w:pPr>
        <w:pStyle w:val="ListBullet"/>
        <w:spacing w:after="40"/>
        <w:ind w:left="432"/>
      </w:pPr>
      <w:r>
        <w:rPr>
          <w:color w:val="18181B"/>
          <w:sz w:val="20"/>
        </w:rPr>
        <w:t>LPO invoicing for corporate annual contracts</w:t>
      </w:r>
    </w:p>
    <w:p>
      <w:pPr>
        <w:spacing w:before="240" w:after="80"/>
      </w:pPr>
      <w:r>
        <w:rPr>
          <w:b/>
          <w:color w:val="18181B"/>
          <w:sz w:val="26"/>
          <w:u w:val="single"/>
        </w:rPr>
        <w:t>9.4  H2 2026</w:t>
      </w:r>
    </w:p>
    <w:p>
      <w:pPr>
        <w:pStyle w:val="ListBullet"/>
        <w:spacing w:after="40"/>
        <w:ind w:left="432"/>
      </w:pPr>
      <w:r>
        <w:rPr>
          <w:color w:val="18181B"/>
          <w:sz w:val="20"/>
        </w:rPr>
        <w:t>Native M-Pesa subscription billing (monthly recurring via Daraja 3.0)</w:t>
      </w:r>
    </w:p>
    <w:p>
      <w:pPr>
        <w:pStyle w:val="ListBullet"/>
        <w:spacing w:after="40"/>
        <w:ind w:left="432"/>
      </w:pPr>
      <w:r>
        <w:rPr>
          <w:color w:val="18181B"/>
          <w:sz w:val="20"/>
        </w:rPr>
        <w:t>Custom scoring rubric per org (Corporate tier)</w:t>
      </w:r>
    </w:p>
    <w:p>
      <w:pPr>
        <w:pStyle w:val="ListBullet"/>
        <w:spacing w:after="40"/>
        <w:ind w:left="432"/>
      </w:pPr>
      <w:r>
        <w:rPr>
          <w:color w:val="18181B"/>
          <w:sz w:val="20"/>
        </w:rPr>
        <w:t>White-label outreach templates (Corporate tier)</w:t>
      </w:r>
    </w:p>
    <w:p>
      <w:pPr>
        <w:pStyle w:val="ListBullet"/>
        <w:spacing w:after="40"/>
        <w:ind w:left="432"/>
      </w:pPr>
      <w:r>
        <w:rPr>
          <w:color w:val="18181B"/>
          <w:sz w:val="20"/>
        </w:rPr>
        <w:t>API access for external integrations (Corporate tier)</w:t>
      </w:r>
    </w:p>
    <w:p>
      <w:pPr>
        <w:pStyle w:val="ListBullet"/>
        <w:spacing w:after="40"/>
        <w:ind w:left="432"/>
      </w:pPr>
      <w:r>
        <w:rPr>
          <w:color w:val="18181B"/>
          <w:sz w:val="20"/>
        </w:rPr>
        <w:t>Multi-language outreach copy (Swahili + English)</w:t>
      </w:r>
    </w:p>
    <w:p>
      <w:pPr>
        <w:pStyle w:val="ListBullet"/>
        <w:spacing w:after="40"/>
        <w:ind w:left="432"/>
      </w:pPr>
      <w:r>
        <w:rPr>
          <w:color w:val="18181B"/>
          <w:sz w:val="20"/>
        </w:rPr>
        <w:t>Expanded verticals: East Africa (Uganda, Tanzania) coverage</w:t>
      </w:r>
    </w:p>
    <w:p>
      <w:pPr>
        <w:pStyle w:val="ListBullet"/>
        <w:spacing w:after="40"/>
        <w:ind w:left="432"/>
      </w:pPr>
      <w:r>
        <w:rPr>
          <w:color w:val="18181B"/>
          <w:sz w:val="20"/>
        </w:rPr>
        <w:t>AI-powered follow-up sequence generator</w:t>
      </w:r>
    </w:p>
    <w:p>
      <w:r>
        <w:br w:type="page"/>
      </w:r>
    </w:p>
    <w:p>
      <w:pPr>
        <w:spacing w:before="360" w:after="120"/>
      </w:pPr>
      <w:r>
        <w:rPr>
          <w:b/>
          <w:color w:val="10B981"/>
          <w:sz w:val="36"/>
        </w:rPr>
        <w:t>10. COMPLIANCE &amp; LEGAL</w:t>
      </w:r>
    </w:p>
    <w:p>
      <w:pPr>
        <w:spacing w:before="240" w:after="80"/>
      </w:pPr>
      <w:r>
        <w:rPr>
          <w:b/>
          <w:color w:val="18181B"/>
          <w:sz w:val="26"/>
          <w:u w:val="single"/>
        </w:rPr>
        <w:t>10.1  Kenya Data Protection Act 2019</w:t>
      </w:r>
    </w:p>
    <w:p>
      <w:pPr>
        <w:spacing w:after="80"/>
      </w:pPr>
      <w:r>
        <w:rPr>
          <w:color w:val="18181B"/>
          <w:sz w:val="20"/>
        </w:rPr>
        <w:t>4unter is built with Kenya DPA 2019 compliance as a first-class requirement, not an afterthought:</w:t>
      </w:r>
    </w:p>
    <w:p>
      <w:pPr>
        <w:pStyle w:val="ListBullet"/>
        <w:spacing w:after="40"/>
        <w:ind w:left="432"/>
      </w:pPr>
      <w:r>
        <w:rPr>
          <w:color w:val="18181B"/>
          <w:sz w:val="20"/>
        </w:rPr>
        <w:t>Consent collected explicitly at signup: Terms of Service + DPA data collection + DPA third-party enrichment</w:t>
      </w:r>
    </w:p>
    <w:p>
      <w:pPr>
        <w:pStyle w:val="ListBullet"/>
        <w:spacing w:after="40"/>
        <w:ind w:left="432"/>
      </w:pPr>
      <w:r>
        <w:rPr>
          <w:color w:val="18181B"/>
          <w:sz w:val="20"/>
        </w:rPr>
        <w:t>Corporate accounts additionally capture Data Processing Agreement consent</w:t>
      </w:r>
    </w:p>
    <w:p>
      <w:pPr>
        <w:pStyle w:val="ListBullet"/>
        <w:spacing w:after="40"/>
        <w:ind w:left="432"/>
      </w:pPr>
      <w:r>
        <w:rPr>
          <w:color w:val="18181B"/>
          <w:sz w:val="20"/>
        </w:rPr>
        <w:t>All consents recorded with: consent type, version (1.0), IP address, user agent, timestamp</w:t>
      </w:r>
    </w:p>
    <w:p>
      <w:pPr>
        <w:pStyle w:val="ListBullet"/>
        <w:spacing w:after="40"/>
        <w:ind w:left="432"/>
      </w:pPr>
      <w:r>
        <w:rPr>
          <w:color w:val="18181B"/>
          <w:sz w:val="20"/>
        </w:rPr>
        <w:t>Consent records are immutable — no UPDATE or DELETE on hunter_legal_consents table</w:t>
      </w:r>
    </w:p>
    <w:p>
      <w:pPr>
        <w:pStyle w:val="ListBullet"/>
        <w:spacing w:after="40"/>
        <w:ind w:left="432"/>
      </w:pPr>
      <w:r>
        <w:rPr>
          <w:color w:val="18181B"/>
          <w:sz w:val="20"/>
        </w:rPr>
        <w:t>Data collected is publicly available business information (names, addresses, phones, websites) — not personal data of private individuals</w:t>
      </w:r>
    </w:p>
    <w:p>
      <w:pPr>
        <w:pStyle w:val="ListBullet"/>
        <w:spacing w:after="40"/>
        <w:ind w:left="432"/>
      </w:pPr>
      <w:r>
        <w:rPr>
          <w:color w:val="18181B"/>
          <w:sz w:val="20"/>
        </w:rPr>
        <w:t>Email, name, and phone of business contacts are collected only from public sources and with user-initiated enrichment</w:t>
      </w:r>
    </w:p>
    <w:p>
      <w:pPr>
        <w:pStyle w:val="ListBullet"/>
        <w:spacing w:after="40"/>
        <w:ind w:left="432"/>
      </w:pPr>
      <w:r>
        <w:rPr>
          <w:color w:val="18181B"/>
          <w:sz w:val="20"/>
        </w:rPr>
        <w:t>Data retention: lead history per tier (90 days / 12 months / unlimited)</w:t>
      </w:r>
    </w:p>
    <w:p>
      <w:pPr>
        <w:pStyle w:val="ListBullet"/>
        <w:spacing w:after="40"/>
        <w:ind w:left="432"/>
      </w:pPr>
      <w:r>
        <w:rPr>
          <w:color w:val="18181B"/>
          <w:sz w:val="20"/>
        </w:rPr>
        <w:t>Right to erasure: org deletion cascades to all associated leads and consents</w:t>
      </w:r>
    </w:p>
    <w:p>
      <w:pPr>
        <w:spacing w:before="240" w:after="80"/>
      </w:pPr>
      <w:r>
        <w:rPr>
          <w:b/>
          <w:color w:val="18181B"/>
          <w:sz w:val="26"/>
          <w:u w:val="single"/>
        </w:rPr>
        <w:t>10.2  Data Sources Disclosure (Terms of Service)</w:t>
      </w:r>
    </w:p>
    <w:p>
      <w:pPr>
        <w:spacing w:after="80"/>
      </w:pPr>
      <w:r>
        <w:rPr>
          <w:color w:val="18181B"/>
          <w:sz w:val="20"/>
        </w:rPr>
        <w:t>4unter's Terms of Service explicitly discloses data sources: business names, phone numbers, website URLs, addresses, and ratings from public sources (mapping platforms and public business websites). This disclosure is preserved even when provider names are omitted from marketing materials.</w:t>
      </w:r>
    </w:p>
    <w:p>
      <w:pPr>
        <w:spacing w:before="240" w:after="80"/>
      </w:pPr>
      <w:r>
        <w:rPr>
          <w:b/>
          <w:color w:val="18181B"/>
          <w:sz w:val="26"/>
          <w:u w:val="single"/>
        </w:rPr>
        <w:t>10.3  Security Certifications (Roadmap)</w:t>
      </w:r>
    </w:p>
    <w:p>
      <w:pPr>
        <w:pStyle w:val="ListBullet"/>
        <w:spacing w:after="40"/>
        <w:ind w:left="432"/>
      </w:pPr>
      <w:r>
        <w:rPr>
          <w:color w:val="18181B"/>
          <w:sz w:val="20"/>
        </w:rPr>
        <w:t>SOC 2 Type I — target Q3 2026 (prerequisite for enterprise contracts)</w:t>
      </w:r>
    </w:p>
    <w:p>
      <w:pPr>
        <w:pStyle w:val="ListBullet"/>
        <w:spacing w:after="40"/>
        <w:ind w:left="432"/>
      </w:pPr>
      <w:r>
        <w:rPr>
          <w:color w:val="18181B"/>
          <w:sz w:val="20"/>
        </w:rPr>
        <w:t>ISO 27001 — target 2027</w:t>
      </w:r>
    </w:p>
    <w:p>
      <w:r>
        <w:br w:type="page"/>
      </w:r>
    </w:p>
    <w:p>
      <w:pPr>
        <w:spacing w:before="360" w:after="120"/>
      </w:pPr>
      <w:r>
        <w:rPr>
          <w:b/>
          <w:color w:val="10B981"/>
          <w:sz w:val="36"/>
        </w:rPr>
        <w:t>11. TEAM &amp; CONTACTS</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Role</w:t>
            </w:r>
          </w:p>
        </w:tc>
        <w:tc>
          <w:tcPr>
            <w:tcW w:type="dxa" w:w="2880"/>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Name</w:t>
            </w:r>
          </w:p>
        </w:tc>
        <w:tc>
          <w:tcPr>
            <w:tcW w:type="dxa" w:w="3168"/>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Contact</w:t>
            </w:r>
          </w:p>
        </w:tc>
      </w:tr>
      <w:tr>
        <w:tc>
          <w:tcPr>
            <w:tcW w:type="dxa" w:w="259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Founder &amp; CEO</w:t>
            </w:r>
          </w:p>
        </w:tc>
        <w:tc>
          <w:tcPr>
            <w:tcW w:type="dxa" w:w="288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Dr. Dullu (Ian Jillo)</w:t>
            </w:r>
          </w:p>
        </w:tc>
        <w:tc>
          <w:tcPr>
            <w:tcW w:type="dxa" w:w="316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dr.dullu@outlook.com</w:t>
            </w:r>
          </w:p>
        </w:tc>
      </w:tr>
      <w:tr>
        <w:tc>
          <w:tcPr>
            <w:tcW w:type="dxa" w:w="259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Brand</w:t>
            </w:r>
          </w:p>
        </w:tc>
        <w:tc>
          <w:tcPr>
            <w:tcW w:type="dxa" w:w="288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Dullu Digital</w:t>
            </w:r>
          </w:p>
        </w:tc>
        <w:tc>
          <w:tcPr>
            <w:tcW w:type="dxa" w:w="316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dullugroup.co.ke</w:t>
            </w:r>
          </w:p>
        </w:tc>
      </w:tr>
      <w:tr>
        <w:tc>
          <w:tcPr>
            <w:tcW w:type="dxa" w:w="259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Social</w:t>
            </w:r>
          </w:p>
        </w:tc>
        <w:tc>
          <w:tcPr>
            <w:tcW w:type="dxa" w:w="288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@iandullu</w:t>
            </w:r>
          </w:p>
        </w:tc>
        <w:tc>
          <w:tcPr>
            <w:tcW w:type="dxa" w:w="316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LinkedIn / X</w:t>
            </w:r>
          </w:p>
        </w:tc>
      </w:tr>
      <w:tr>
        <w:tc>
          <w:tcPr>
            <w:tcW w:type="dxa" w:w="259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Product</w:t>
            </w:r>
          </w:p>
        </w:tc>
        <w:tc>
          <w:tcPr>
            <w:tcW w:type="dxa" w:w="288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hunter.dullugroup.co.ke</w:t>
            </w:r>
          </w:p>
        </w:tc>
        <w:tc>
          <w:tcPr>
            <w:tcW w:type="dxa" w:w="316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Live production URL</w:t>
            </w:r>
          </w:p>
        </w:tc>
      </w:tr>
      <w:tr>
        <w:tc>
          <w:tcPr>
            <w:tcW w:type="dxa" w:w="259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Workshops</w:t>
            </w:r>
          </w:p>
        </w:tc>
        <w:tc>
          <w:tcPr>
            <w:tcW w:type="dxa" w:w="288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hunter.dullugroup.co.ke/workshop</w:t>
            </w:r>
          </w:p>
        </w:tc>
        <w:tc>
          <w:tcPr>
            <w:tcW w:type="dxa" w:w="316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Every Thursday, 6 PM EAT</w:t>
            </w:r>
          </w:p>
        </w:tc>
      </w:tr>
    </w:tbl>
    <w:p/>
    <w:p/>
    <w:p>
      <w:pPr>
        <w:spacing w:before="240" w:after="80"/>
      </w:pPr>
      <w:r>
        <w:rPr>
          <w:b/>
          <w:color w:val="18181B"/>
          <w:sz w:val="26"/>
          <w:u w:val="single"/>
        </w:rPr>
        <w:t>Domains under Dullu Group</w:t>
      </w:r>
    </w:p>
    <w:tbl>
      <w:tblPr>
        <w:tblStyle w:val="TableGrid"/>
        <w:tblW w:type="auto" w:w="0"/>
        <w:tblLook w:firstColumn="1" w:firstRow="1" w:lastColumn="0" w:lastRow="0" w:noHBand="0" w:noVBand="1" w:val="04A0"/>
      </w:tblPr>
      <w:tblGrid>
        <w:gridCol w:w="4703"/>
        <w:gridCol w:w="4703"/>
      </w:tblGrid>
      <w:tr>
        <w:tc>
          <w:tcPr>
            <w:tcW w:type="dxa" w:w="3600"/>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Subdomain</w:t>
            </w:r>
          </w:p>
        </w:tc>
        <w:tc>
          <w:tcPr>
            <w:tcW w:type="dxa" w:w="5040"/>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Purpose</w:t>
            </w:r>
          </w:p>
        </w:tc>
      </w:tr>
      <w:tr>
        <w:tc>
          <w:tcPr>
            <w:tcW w:type="dxa" w:w="360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dr.dullugroup.co.ke</w:t>
            </w:r>
          </w:p>
        </w:tc>
        <w:tc>
          <w:tcPr>
            <w:tcW w:type="dxa" w:w="504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Personal / consultancy profile</w:t>
            </w:r>
          </w:p>
        </w:tc>
      </w:tr>
      <w:tr>
        <w:tc>
          <w:tcPr>
            <w:tcW w:type="dxa" w:w="360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digital.dullugroup.co.ke</w:t>
            </w:r>
          </w:p>
        </w:tc>
        <w:tc>
          <w:tcPr>
            <w:tcW w:type="dxa" w:w="504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Dullu Digital agency</w:t>
            </w:r>
          </w:p>
        </w:tc>
      </w:tr>
      <w:tr>
        <w:tc>
          <w:tcPr>
            <w:tcW w:type="dxa" w:w="360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hunter.dullugroup.co.ke</w:t>
            </w:r>
          </w:p>
        </w:tc>
        <w:tc>
          <w:tcPr>
            <w:tcW w:type="dxa" w:w="504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4unter SaaS platform (this product)</w:t>
            </w:r>
          </w:p>
        </w:tc>
      </w:tr>
      <w:tr>
        <w:tc>
          <w:tcPr>
            <w:tcW w:type="dxa" w:w="360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media.dullugroup.co.ke</w:t>
            </w:r>
          </w:p>
        </w:tc>
        <w:tc>
          <w:tcPr>
            <w:tcW w:type="dxa" w:w="504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Media / content arm</w:t>
            </w:r>
          </w:p>
        </w:tc>
      </w:tr>
    </w:tbl>
    <w:p/>
    <w:p>
      <w:r>
        <w:br w:type="page"/>
      </w:r>
    </w:p>
    <w:p>
      <w:pPr>
        <w:spacing w:before="360" w:after="120"/>
      </w:pPr>
      <w:r>
        <w:rPr>
          <w:b/>
          <w:color w:val="10B981"/>
          <w:sz w:val="36"/>
        </w:rPr>
        <w:t>12. APPENDIX — PRODUCTION SECURITY AUDIT (May 2026)</w:t>
      </w:r>
    </w:p>
    <w:p>
      <w:pPr>
        <w:spacing w:after="80"/>
      </w:pPr>
      <w:r>
        <w:rPr>
          <w:color w:val="18181B"/>
          <w:sz w:val="20"/>
        </w:rPr>
        <w:t>Full code review conducted across 7 categories. 34 findings. Status as of this document:</w:t>
      </w:r>
    </w:p>
    <w:tbl>
      <w:tblPr>
        <w:tblStyle w:val="TableGrid"/>
        <w:tblW w:type="auto" w:w="0"/>
        <w:tblLook w:firstColumn="1" w:firstRow="1" w:lastColumn="0" w:lastRow="0" w:noHBand="0" w:noVBand="1" w:val="04A0"/>
      </w:tblPr>
      <w:tblGrid>
        <w:gridCol w:w="3135"/>
        <w:gridCol w:w="3135"/>
        <w:gridCol w:w="3135"/>
      </w:tblGrid>
      <w:tr>
        <w:tc>
          <w:tcPr>
            <w:tcW w:type="dxa" w:w="4608"/>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Finding</w:t>
            </w:r>
          </w:p>
        </w:tc>
        <w:tc>
          <w:tcPr>
            <w:tcW w:type="dxa" w:w="1152"/>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Severity</w:t>
            </w:r>
          </w:p>
        </w:tc>
        <w:tc>
          <w:tcPr>
            <w:tcW w:type="dxa" w:w="1440"/>
            <w:shd w:val="clear" w:color="auto" w:fill="10B981"/>
            <w:tcBorders>
              <w:top w:val="single" w:sz="4" w:space="0" w:color="D4D4D8"/>
              <w:left w:val="single" w:sz="4" w:space="0" w:color="D4D4D8"/>
              <w:bottom w:val="single" w:sz="4" w:space="0" w:color="D4D4D8"/>
              <w:right w:val="single" w:sz="4" w:space="0" w:color="D4D4D8"/>
            </w:tcBorders>
          </w:tcPr>
          <w:p>
            <w:r>
              <w:rPr>
                <w:b/>
                <w:color w:val="FFFFFF"/>
                <w:sz w:val="18"/>
              </w:rPr>
              <w:t>Status</w:t>
            </w:r>
          </w:p>
        </w:tc>
      </w:tr>
      <w:tr>
        <w:tc>
          <w:tcPr>
            <w:tcW w:type="dxa" w:w="460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Team DELETE: .ilike('%@%') wiped all org invites</w:t>
            </w:r>
          </w:p>
        </w:tc>
        <w:tc>
          <w:tcPr>
            <w:tcW w:type="dxa" w:w="115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CRITICAL</w:t>
            </w:r>
          </w:p>
        </w:tc>
        <w:tc>
          <w:tcPr>
            <w:tcW w:type="dxa" w:w="144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FIXED</w:t>
            </w:r>
          </w:p>
        </w:tc>
      </w:tr>
      <w:tr>
        <w:tc>
          <w:tcPr>
            <w:tcW w:type="dxa" w:w="460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Onboarding IDOR: user.id vs resolveOrgId()</w:t>
            </w:r>
          </w:p>
        </w:tc>
        <w:tc>
          <w:tcPr>
            <w:tcW w:type="dxa" w:w="115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CRITICAL</w:t>
            </w:r>
          </w:p>
        </w:tc>
        <w:tc>
          <w:tcPr>
            <w:tcW w:type="dxa" w:w="144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FIXED</w:t>
            </w:r>
          </w:p>
        </w:tc>
      </w:tr>
      <w:tr>
        <w:tc>
          <w:tcPr>
            <w:tcW w:type="dxa" w:w="460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Stripe checkout: empty price IDs passed to Stripe</w:t>
            </w:r>
          </w:p>
        </w:tc>
        <w:tc>
          <w:tcPr>
            <w:tcW w:type="dxa" w:w="115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CRITICAL</w:t>
            </w:r>
          </w:p>
        </w:tc>
        <w:tc>
          <w:tcPr>
            <w:tcW w:type="dxa" w:w="144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FIXED</w:t>
            </w:r>
          </w:p>
        </w:tc>
      </w:tr>
      <w:tr>
        <w:tc>
          <w:tcPr>
            <w:tcW w:type="dxa" w:w="460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priceIdToPlan: silent downgrade to 'starter'</w:t>
            </w:r>
          </w:p>
        </w:tc>
        <w:tc>
          <w:tcPr>
            <w:tcW w:type="dxa" w:w="115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CRITICAL</w:t>
            </w:r>
          </w:p>
        </w:tc>
        <w:tc>
          <w:tcPr>
            <w:tcW w:type="dxa" w:w="144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FIXED</w:t>
            </w:r>
          </w:p>
        </w:tc>
      </w:tr>
      <w:tr>
        <w:tc>
          <w:tcPr>
            <w:tcW w:type="dxa" w:w="460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Leads API limit: unbounded (DoS vector)</w:t>
            </w:r>
          </w:p>
        </w:tc>
        <w:tc>
          <w:tcPr>
            <w:tcW w:type="dxa" w:w="115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HIGH</w:t>
            </w:r>
          </w:p>
        </w:tc>
        <w:tc>
          <w:tcPr>
            <w:tcW w:type="dxa" w:w="144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FIXED</w:t>
            </w:r>
          </w:p>
        </w:tc>
      </w:tr>
      <w:tr>
        <w:tc>
          <w:tcPr>
            <w:tcW w:type="dxa" w:w="460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Leads search q: unbounded string (expensive regex)</w:t>
            </w:r>
          </w:p>
        </w:tc>
        <w:tc>
          <w:tcPr>
            <w:tcW w:type="dxa" w:w="115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HIGH</w:t>
            </w:r>
          </w:p>
        </w:tc>
        <w:tc>
          <w:tcPr>
            <w:tcW w:type="dxa" w:w="144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FIXED</w:t>
            </w:r>
          </w:p>
        </w:tc>
      </w:tr>
      <w:tr>
        <w:tc>
          <w:tcPr>
            <w:tcW w:type="dxa" w:w="460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SSRF: link-local 169.254.x.x block</w:t>
            </w:r>
          </w:p>
        </w:tc>
        <w:tc>
          <w:tcPr>
            <w:tcW w:type="dxa" w:w="115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HIGH</w:t>
            </w:r>
          </w:p>
        </w:tc>
        <w:tc>
          <w:tcPr>
            <w:tcW w:type="dxa" w:w="144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ALREADY PROTECTED</w:t>
            </w:r>
          </w:p>
        </w:tc>
      </w:tr>
      <w:tr>
        <w:tc>
          <w:tcPr>
            <w:tcW w:type="dxa" w:w="460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SSRF: metadata.google.internal suffix check</w:t>
            </w:r>
          </w:p>
        </w:tc>
        <w:tc>
          <w:tcPr>
            <w:tcW w:type="dxa" w:w="115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HIGH</w:t>
            </w:r>
          </w:p>
        </w:tc>
        <w:tc>
          <w:tcPr>
            <w:tcW w:type="dxa" w:w="144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ALREADY PROTECTED</w:t>
            </w:r>
          </w:p>
        </w:tc>
      </w:tr>
      <w:tr>
        <w:tc>
          <w:tcPr>
            <w:tcW w:type="dxa" w:w="460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Stripe webhook signature try/catch</w:t>
            </w:r>
          </w:p>
        </w:tc>
        <w:tc>
          <w:tcPr>
            <w:tcW w:type="dxa" w:w="115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HIGH</w:t>
            </w:r>
          </w:p>
        </w:tc>
        <w:tc>
          <w:tcPr>
            <w:tcW w:type="dxa" w:w="144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ALREADY PROTECTED</w:t>
            </w:r>
          </w:p>
        </w:tc>
      </w:tr>
      <w:tr>
        <w:tc>
          <w:tcPr>
            <w:tcW w:type="dxa" w:w="460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Rate limiter: page nav counted toward auth quota</w:t>
            </w:r>
          </w:p>
        </w:tc>
        <w:tc>
          <w:tcPr>
            <w:tcW w:type="dxa" w:w="115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HIGH</w:t>
            </w:r>
          </w:p>
        </w:tc>
        <w:tc>
          <w:tcPr>
            <w:tcW w:type="dxa" w:w="144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FIXED (prior commit)</w:t>
            </w:r>
          </w:p>
        </w:tc>
      </w:tr>
      <w:tr>
        <w:tc>
          <w:tcPr>
            <w:tcW w:type="dxa" w:w="460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Confirmation link blocked by rate limiter</w:t>
            </w:r>
          </w:p>
        </w:tc>
        <w:tc>
          <w:tcPr>
            <w:tcW w:type="dxa" w:w="115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HIGH</w:t>
            </w:r>
          </w:p>
        </w:tc>
        <w:tc>
          <w:tcPr>
            <w:tcW w:type="dxa" w:w="144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FIXED (prior commit)</w:t>
            </w:r>
          </w:p>
        </w:tc>
      </w:tr>
      <w:tr>
        <w:tc>
          <w:tcPr>
            <w:tcW w:type="dxa" w:w="460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Dashboard safety-net upsert bypassed deferred writes</w:t>
            </w:r>
          </w:p>
        </w:tc>
        <w:tc>
          <w:tcPr>
            <w:tcW w:type="dxa" w:w="115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HIGH</w:t>
            </w:r>
          </w:p>
        </w:tc>
        <w:tc>
          <w:tcPr>
            <w:tcW w:type="dxa" w:w="144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FIXED (prior commit)</w:t>
            </w:r>
          </w:p>
        </w:tc>
      </w:tr>
      <w:tr>
        <w:tc>
          <w:tcPr>
            <w:tcW w:type="dxa" w:w="460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Rate limiter unbounded memory growth</w:t>
            </w:r>
          </w:p>
        </w:tc>
        <w:tc>
          <w:tcPr>
            <w:tcW w:type="dxa" w:w="115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HIGH</w:t>
            </w:r>
          </w:p>
        </w:tc>
        <w:tc>
          <w:tcPr>
            <w:tcW w:type="dxa" w:w="144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OPEN — recommend Redis at scale</w:t>
            </w:r>
          </w:p>
        </w:tc>
      </w:tr>
      <w:tr>
        <w:tc>
          <w:tcPr>
            <w:tcW w:type="dxa" w:w="460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Background scrape: no explicit timeout</w:t>
            </w:r>
          </w:p>
        </w:tc>
        <w:tc>
          <w:tcPr>
            <w:tcW w:type="dxa" w:w="115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HIGH</w:t>
            </w:r>
          </w:p>
        </w:tc>
        <w:tc>
          <w:tcPr>
            <w:tcW w:type="dxa" w:w="144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OPEN — 30-day roadmap</w:t>
            </w:r>
          </w:p>
        </w:tc>
      </w:tr>
      <w:tr>
        <w:tc>
          <w:tcPr>
            <w:tcW w:type="dxa" w:w="460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Analytics route: full table scan (no pagination)</w:t>
            </w:r>
          </w:p>
        </w:tc>
        <w:tc>
          <w:tcPr>
            <w:tcW w:type="dxa" w:w="115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MEDIUM</w:t>
            </w:r>
          </w:p>
        </w:tc>
        <w:tc>
          <w:tcPr>
            <w:tcW w:type="dxa" w:w="144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OPEN — 30-day roadmap</w:t>
            </w:r>
          </w:p>
        </w:tc>
      </w:tr>
      <w:tr>
        <w:tc>
          <w:tcPr>
            <w:tcW w:type="dxa" w:w="460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Missing indexes: (org_id, status), (org_id, stage)</w:t>
            </w:r>
          </w:p>
        </w:tc>
        <w:tc>
          <w:tcPr>
            <w:tcW w:type="dxa" w:w="115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MEDIUM</w:t>
            </w:r>
          </w:p>
        </w:tc>
        <w:tc>
          <w:tcPr>
            <w:tcW w:type="dxa" w:w="144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OPEN — 30-day roadmap</w:t>
            </w:r>
          </w:p>
        </w:tc>
      </w:tr>
      <w:tr>
        <w:tc>
          <w:tcPr>
            <w:tcW w:type="dxa" w:w="460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Invite batch: no max batch size (email flood risk)</w:t>
            </w:r>
          </w:p>
        </w:tc>
        <w:tc>
          <w:tcPr>
            <w:tcW w:type="dxa" w:w="115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MEDIUM</w:t>
            </w:r>
          </w:p>
        </w:tc>
        <w:tc>
          <w:tcPr>
            <w:tcW w:type="dxa" w:w="144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OPEN</w:t>
            </w:r>
          </w:p>
        </w:tc>
      </w:tr>
      <w:tr>
        <w:tc>
          <w:tcPr>
            <w:tcW w:type="dxa" w:w="460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Gemini error: non-200 not checked before streaming</w:t>
            </w:r>
          </w:p>
        </w:tc>
        <w:tc>
          <w:tcPr>
            <w:tcW w:type="dxa" w:w="115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MEDIUM</w:t>
            </w:r>
          </w:p>
        </w:tc>
        <w:tc>
          <w:tcPr>
            <w:tcW w:type="dxa" w:w="144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OPEN</w:t>
            </w:r>
          </w:p>
        </w:tc>
      </w:tr>
      <w:tr>
        <w:tc>
          <w:tcPr>
            <w:tcW w:type="dxa" w:w="4608"/>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Missing /api/health endpoint</w:t>
            </w:r>
          </w:p>
        </w:tc>
        <w:tc>
          <w:tcPr>
            <w:tcW w:type="dxa" w:w="1152"/>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MEDIUM</w:t>
            </w:r>
          </w:p>
        </w:tc>
        <w:tc>
          <w:tcPr>
            <w:tcW w:type="dxa" w:w="1440"/>
            <w:shd w:val="clear" w:color="auto" w:fill="F4F4F5"/>
            <w:tcBorders>
              <w:top w:val="single" w:sz="4" w:space="0" w:color="D4D4D8"/>
              <w:left w:val="single" w:sz="4" w:space="0" w:color="D4D4D8"/>
              <w:bottom w:val="single" w:sz="4" w:space="0" w:color="D4D4D8"/>
              <w:right w:val="single" w:sz="4" w:space="0" w:color="D4D4D8"/>
            </w:tcBorders>
          </w:tcPr>
          <w:p>
            <w:r>
              <w:rPr>
                <w:color w:val="18181B"/>
                <w:sz w:val="18"/>
              </w:rPr>
              <w:t>OPEN — 30-day roadmap</w:t>
            </w:r>
          </w:p>
        </w:tc>
      </w:tr>
      <w:tr>
        <w:tc>
          <w:tcPr>
            <w:tcW w:type="dxa" w:w="4608"/>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No credit double-spend protection (Postgres lock)</w:t>
            </w:r>
          </w:p>
        </w:tc>
        <w:tc>
          <w:tcPr>
            <w:tcW w:type="dxa" w:w="1152"/>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MEDIUM</w:t>
            </w:r>
          </w:p>
        </w:tc>
        <w:tc>
          <w:tcPr>
            <w:tcW w:type="dxa" w:w="1440"/>
            <w:shd w:val="clear" w:color="auto" w:fill="FFFFFF"/>
            <w:tcBorders>
              <w:top w:val="single" w:sz="4" w:space="0" w:color="D4D4D8"/>
              <w:left w:val="single" w:sz="4" w:space="0" w:color="D4D4D8"/>
              <w:bottom w:val="single" w:sz="4" w:space="0" w:color="D4D4D8"/>
              <w:right w:val="single" w:sz="4" w:space="0" w:color="D4D4D8"/>
            </w:tcBorders>
          </w:tcPr>
          <w:p>
            <w:r>
              <w:rPr>
                <w:color w:val="18181B"/>
                <w:sz w:val="18"/>
              </w:rPr>
              <w:t>OPEN — credits not enforced yet</w:t>
            </w:r>
          </w:p>
        </w:tc>
      </w:tr>
    </w:tbl>
    <w:p/>
    <w:p/>
    <w:p>
      <w:pPr>
        <w:spacing w:after="80"/>
      </w:pPr>
      <w:r>
        <w:rPr>
          <w:color w:val="18181B"/>
          <w:sz w:val="20"/>
        </w:rPr>
        <w:t>All CRITICAL and HIGH-FIXED issues have been committed to main and are production-ready. Remaining OPEN items are tracked in the 30/90-day roadmap (Section 9.2–9.3).</w:t>
      </w:r>
    </w:p>
    <w:p>
      <w:pPr>
        <w:spacing w:before="80" w:after="80"/>
      </w:pPr>
      <w:r>
        <w:rPr>
          <w:color w:val="A1A1AA"/>
          <w:sz w:val="14"/>
        </w:rPr>
        <w:t>────────────────────────────────────────────────────────────────────────────────</w:t>
      </w:r>
    </w:p>
    <w:p>
      <w:pPr>
        <w:jc w:val="center"/>
      </w:pPr>
      <w:r>
        <w:rPr>
          <w:color w:val="A1A1AA"/>
          <w:sz w:val="16"/>
        </w:rPr>
        <w:t>4unter Blueprint  ·  Dullu Digital  ·  Confidential  ·  May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