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5C6373"/>
          <w:spacing w:val="40"/>
          <w:sz w:val="16"/>
          <w:szCs w:val="16"/>
        </w:rPr>
        <w:t xml:space="preserve">FIELD STUDY · COMPETITIVE RESEARCH &amp; BUILD PLAN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D24"/>
          <w:sz w:val="52"/>
          <w:szCs w:val="52"/>
        </w:rPr>
        <w:t xml:space="preserve">What people love, and what Orcha is missing</w:t>
      </w:r>
    </w:p>
    <w:p>
      <w:pPr>
        <w:spacing w:after="220" w:line="300"/>
      </w:pPr>
      <w:r>
        <w:rPr>
          <w:rFonts w:ascii="Calibri" w:cs="Calibri" w:eastAsia="Calibri" w:hAnsi="Calibri"/>
          <w:color w:val="5C6373"/>
          <w:sz w:val="24"/>
          <w:szCs w:val="24"/>
        </w:rPr>
        <w:t xml:space="preserve">Forty sources on AI app builders, agent workforces, and agentic interface design — read against Orcha’s actual codebase, and turned into a build order.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22 August 2026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  ·   </w:t>
      </w: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40 sources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  ·   </w:t>
      </w: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14 areas surveyed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  ·  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audited against orcha-v1-starter-kit</w:t>
      </w:r>
    </w:p>
    <w:p>
      <w:pPr>
        <w:pBdr>
          <w:bottom w:val="single" w:color="D8DCE4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THE GROUND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The category Orcha is entering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Vibe coding stopped being niche. The interesting number is not the market size — it is who the users are.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63% of AI app-builder users are not developers.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The market reached roughly $4.7B. The majority of the people in it cannot read the code being generated for them, which makes the interface the entire product. (MindStudio, State of AI App Builders Q3 2026)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40% of enterprise applications will embed role-specific agents by 2026.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Gartner’s projection. “Role-specific” is the operative phrase — the market is converging on agents with job titles, which is exactly Orcha’s department model.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Orcha sits at the intersection of two categories that are currently separate. On one side, AI app builders — Lovable, Bolt, v0, Replit Agent — which turn a description into running software. On the other, AI workforce platforms — Lindy, Artisan, Relevance AI — which sell agents with job titles that do ongoing work.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Nobody credible is doing both. App builders produce an artifact and stop; workforce platforms run forever but do not build you a product. Orcha’s premise — a persistent company of specialists that builds and keeps building — is a real gap, and the research below suggests it is a gap for good reasons as well as bad ones.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SIGNAL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What people actually love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Five things come up repeatedly across reviews, comparisons and G2 scores. Only one of them is about model quality.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The instant “wow” is the entire acquisition engine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Every comparison of Lovable, Bolt, v0 and Replit lands on the same observation: these tools mastered the moment where a sentence becomes a visible interface. Not the code quality, not the architecture — the moment. It is what gets screenshotted, shared, and written about.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Orcha already has an unusually strong version of this asset and is currently wasting it. The headline field animation, the flip-cube word swap, the composer rise — that is a first-thirty-seconds experience most competitors do not have. But it leads nowhere: the chat entry is the only reachable surface. The wow fires, and then nothing happens.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Zero setup beats more power, decisively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Wins — Lindy, 4.9/5 on G2 across 168+ reviews.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“Pick an AI employee, connect your accounts, and you’re running. No workflows to build.” Reviewers repeatedly frame it as hiring an assistant, not configuring software.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Loses — Relevance AI, “too much technical setup before it did anything useful.”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Its multi-agent orchestration is described as the killer feature — agents that collaborate and delegate to each other. The same idea as Orcha. It still loses on setup cost.</w:t>
      </w:r>
    </w:p>
    <w:tbl>
      <w:tblPr>
        <w:tblW w:type="dxa" w:w="9360"/>
        <w:tblBorders>
          <w:top w:val="none"/>
          <w:left w:val="single" w:color="6B5BD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6B5BD6"/>
                <w:spacing w:val="30"/>
                <w:sz w:val="16"/>
                <w:szCs w:val="16"/>
              </w:rPr>
              <w:t xml:space="preserve">THE MOST IMPORTANT FINDING IN THIS STUDY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The product whose architecture most resembles Orcha’s — a coordinated team of specialists that delegate to one another — is losing to a simpler product on setup friction alone.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Multi-agent orchestration is not the moat. It is the liability, unless it is hidden.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Delegation, and returning to finished work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Manus users describe the core pleasure precisely: hand over a task, leave, come back to a finished deliverable. On well-defined tasks with clear output requirements it succeeds 70–80% of the time. That asymmetry — high delight, moderate reliability — is worth internalizing: people forgive a middling success rate when the winning case feels like magic and the failing case is cheap.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“While you were away” is already the strongest idea in Orcha’s synthetic data, and this is why. It is the exact emotional payload Manus sells.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Motion nobody consciously notices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On the craft attributed to Linear, Raycast and Arc, the research is blunt: the animation is subtle — users don’t notice it consciously, they just notice the interface feels good. That is the entire craft. A move along a straight line reads efficient but cold; the same move on a slight arc reads organic and intentional.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What these teams are actually admired for is not a palette: it is real hover states, considered empty states, honest microcopy, and pixel-level care. Orcha’s motion ambition already exceeds most of this category. Its empty states and edge cases do not yet.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COUNTER-SIGNAL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What kills products in this category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The failure modes are consistent enough to design against directly. Three of the four are about money and control, not intelligence.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The 80/20 wall.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AI-generated code handles the first 80% brilliantly. The last 20% — edge cases, integrations, production hardening — needs exactly the skills the tool promised you would not need.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Paying to fix the bug the AI wrote.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Lovable users report burning 400 credits in under an hour on bug-fixing loops. The meter runs during the model’s own mistakes, which reads as a scam even when it is not.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Opaque credit consumption.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Manus: the same 10-minute research task might cost 1 credit or 5, depending on internal retries the user never sees. Buyers across vendors now report “credit fatigue.”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No way to course-correct mid-task.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Manus runs async in the cloud with no way to work alongside the agent. The delegation that delights on success becomes helplessness on failure.</w:t>
      </w:r>
    </w:p>
    <w:tbl>
      <w:tblPr>
        <w:tblW w:type="dxa" w:w="9360"/>
        <w:tblBorders>
          <w:top w:val="none"/>
          <w:left w:val="single" w:color="6B5BD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6B5BD6"/>
                <w:spacing w:val="30"/>
                <w:sz w:val="16"/>
                <w:szCs w:val="16"/>
              </w:rPr>
              <w:t xml:space="preserve">THE MAINTENANCE BACKLASH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The most-engaged thread in the 2026 vibe-coding discussion — 562 upvotes — was titled around “the problem with vibe coding is nobody wants to talk about maintenance.” Reddit data shows builders returning to visual no-code after hitting maintenance walls.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A product that generates software and then abandons the owner to it has a structural churn problem. Orcha’s persistent-company premise is the natural answer to this, and it is currently the least-built part of the product.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Runaway cost is now a category-level fear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One enterprise reportedly spent $500M in a single month after deploying agents without usage caps. Microsoft cancelled internal Claude Code licences over unsustainable token bills. Whatever the exact figures, the perception is established: autonomous agents are financially dangerous unless visibly bounded.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The recommended defence is five distinct limits — per-run cap, daily/monthly budget, rate limit, tool-level limits, and an approval threshold for expensive actions — with pre-call enforcement rather than after-the-fact alerts. Orcha declares </w:t>
      </w:r>
      <w:r>
        <w:rPr>
          <w:rFonts w:ascii="Consolas" w:cs="Consolas" w:eastAsia="Consolas" w:hAnsi="Consolas"/>
          <w:color w:val="1A1D24"/>
          <w:sz w:val="21"/>
          <w:szCs w:val="21"/>
        </w:rPr>
        <w:t xml:space="preserve">ORCHA_MAX_COMPANY_BUDGET_USD=25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 in .env.example and enforces none of it.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CRAFT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Six agentic patterns, with the shipping example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These are not theory. Each one is in production somewhere, and each maps onto a surface Orcha has already designed but not wired.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Intent preview — Privado Dining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The agent analyses, then stops before acting and shows a summary with conflicts flagged. Crucially it offers three options — Proceed, Cancel, Edit — never a binary.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the company plan step in Onboarding.tsx already is this screen. It needs an Edit path beside Start, and conflicts surfaced rather than assumed away.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The autonomy dial — Booking.com guest messaging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Three modes — preset reply, generated reply, or stay silent when uncertain — set per task type, not globally. Users calibrate trust where they actually feel it.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per-department autonomy is the consumer-legible version. Let Growth publish ads only with approval while Engineering commits code freely. One dial per department card.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Explainable rationale — Intercom Fin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Every conversation carries a visible record of which guidance was applied and which sources were used, tracing decisions back to rules the user themselves set.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the AgentDrawer already has Doing / Why / Files / Tools / Outcome fields and is unmounted. That is this pattern, built and disconnected.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Adaptive interface — Siena test automation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Intent arrives conversationally, then the UI shifts to a structured view for reviewing results. Chat for input, purpose-built surface for judgement.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this resolves the consumer/dev tension directly — chat is the front door, the department view is where you assess. Neither has to win.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Action audit and undo — Salesforce Agentforce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Logs every input, reasoning step, action and triggered guardrail. The finding that matters: a chronological record plus a visible undo makes users grant more autonomy in the first place.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the event bus already emits sequenced, actor-attributed domain events. It is two-thirds of an audit trail with no undo and no UI.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6B5BD6"/>
          <w:sz w:val="22"/>
          <w:szCs w:val="22"/>
        </w:rPr>
        <w:t xml:space="preserve">Graceful escalation — Google Jules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Plans fully, executes nothing until sign-off, and stays interruptible mid-task. Target escalation rate 5–15% of tasks — more erodes confidence in the agent, less produces real damage.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color w:val="6B5BD6"/>
          <w:sz w:val="21"/>
          <w:szCs w:val="21"/>
        </w:rPr>
        <w:t xml:space="preserve">For Orcha: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a concrete number to design to. “Needs you” should be rare enough to mean something and common enough to be trusted.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Status has four layers, and most products use one</w:t>
      </w:r>
    </w:p>
    <w:tbl>
      <w:tblPr>
        <w:tblW w:type="dxa" w:w="9360"/>
        <w:tblBorders>
          <w:top w:val="single" w:color="D8DCE4" w:sz="4"/>
          <w:left w:val="none"/>
          <w:bottom w:val="single" w:color="D8DCE4" w:sz="4"/>
          <w:right w:val="none"/>
          <w:insideH w:val="single" w:color="D8DCE4" w:sz="2"/>
          <w:insideV w:val="none"/>
        </w:tblBorders>
      </w:tblPr>
      <w:tblGrid>
        <w:gridCol w:w="1500"/>
        <w:gridCol w:w="2700"/>
        <w:gridCol w:w="2700"/>
        <w:gridCol w:w="2460"/>
      </w:tblGrid>
      <w:tr>
        <w:trPr>
          <w:tblHeader/>
        </w:trPr>
        <w:tc>
          <w:tcPr>
            <w:tcW w:type="dxa" w:w="150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LAYER</w:t>
            </w:r>
          </w:p>
        </w:tc>
        <w:tc>
          <w:tcPr>
            <w:tcW w:type="dxa" w:w="270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FORM</w:t>
            </w:r>
          </w:p>
        </w:tc>
        <w:tc>
          <w:tcPr>
            <w:tcW w:type="dxa" w:w="270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FIRES WHEN</w:t>
            </w:r>
          </w:p>
        </w:tc>
        <w:tc>
          <w:tcPr>
            <w:tcW w:type="dxa" w:w="246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ORCHA TODAY</w:t>
            </w:r>
          </w:p>
        </w:tc>
      </w:tr>
      <w:t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Ambient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Persistent unobtrusive badge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Always — background awareness</w:t>
            </w:r>
          </w:p>
        </w:tc>
        <w:tc>
          <w:tcPr>
            <w:tcW w:type="dxa" w:w="2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Partly: department status lines</w:t>
            </w:r>
          </w:p>
        </w:tc>
      </w:tr>
      <w:t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Progress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Glanceable panel, on demand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User chooses to look</w:t>
            </w:r>
          </w:p>
        </w:tc>
        <w:tc>
          <w:tcPr>
            <w:tcW w:type="dxa" w:w="2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Attention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Interrupting notification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Only when input is needed</w:t>
            </w:r>
          </w:p>
        </w:tc>
        <w:tc>
          <w:tcPr>
            <w:tcW w:type="dxa" w:w="2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Summary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Completion report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Task finishes</w:t>
            </w:r>
          </w:p>
        </w:tc>
        <w:tc>
          <w:tcPr>
            <w:tcW w:type="dxa" w:w="2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Designed — “While you were away”</w:t>
            </w:r>
          </w:p>
        </w:tc>
      </w:tr>
    </w:tbl>
    <w:p>
      <w:pPr>
        <w:spacing w:after="140" w:before="2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The governing rule is “match the tier to the stakes, not to the event,” and the named anti-pattern is the cry-wolf dashboard: firing notifications at 25/50/75% progress because it feels responsive. It trains users to ignore everything, including “about to email the full client list, confirm?”</w:t>
      </w:r>
    </w:p>
    <w:p>
      <w:pPr>
        <w:spacing w:after="140" w:line="30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One more finding worth taking literally: binary high/low confidence indicators outperform numerical percentages — users intervene faster on a simple signal than on “73% confident.” That argues against putting precise metrics on the consumer surface at all.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ACTIVATION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Sixty seconds, or they leave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This is the single highest-leverage area for Orcha, because its current onboarding is a four-step wizard and the benchmark is zero steps.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3.2× median lift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from AI-native onboarding over tour-based, and 4.8× at the top quartile. The winning pattern: generate the user’s first output before they have configured anything.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11 minutes 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is the median time-to-value for accounts under $5K ARR. Consumer-scale products are held to minutes, not days, and 63% of customers treat onboarding as a subscription decision factor.</w:t>
      </w:r>
    </w:p>
    <w:p>
      <w:pPr>
        <w:spacing w:after="100" w:before="16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The tactics are specific and nearly all apply: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Kill the click tax.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Any action that does not move the user toward their outcome, but exists to teach them the product, is removed. Orcha’s intent-card step is exactly this.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Conversational intake at signup.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The chat is the form. Orcha already has this surface and then routes users into a wizard anyway.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Generate a first artifact immediately.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Gamma drafts a presentation within seconds of onboarding. Orcha’s equivalent: draft the company — name, first milestone, proposed team — from the one sentence, before asking anything.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Branch the first run.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Top-quartile products hit the value event before session #1 ends.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Make it shareworthy.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Low input-to-output ratio, with a first run users want to show someone.</w:t>
      </w:r>
    </w:p>
    <w:p>
      <w:pPr>
        <w:spacing w:after="140" w:before="140"/>
      </w:pPr>
      <w:r>
        <w:rPr>
          <w:rFonts w:ascii="Calibri" w:cs="Calibri" w:eastAsia="Calibri" w:hAnsi="Calibri"/>
          <w:color w:val="1A1D24"/>
          <w:sz w:val="21"/>
          <w:szCs w:val="21"/>
        </w:rPr>
        <w:t xml:space="preserve">Orcha’s four-step wizard — intent cards, goal, constraints, plan — is a tour-based onboarding in a product that has an AI-native surface sitting right in front of it. The research says that costs roughly two-thirds of achievable activation.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DIAGNOSIS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Where Orcha stands against all of it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Measured in the running application on 22 August 2026, not inferred from the documentation.</w:t>
      </w:r>
    </w:p>
    <w:tbl>
      <w:tblPr>
        <w:tblW w:type="dxa" w:w="9360"/>
        <w:tblBorders>
          <w:top w:val="single" w:color="D8DCE4" w:sz="4"/>
          <w:left w:val="none"/>
          <w:bottom w:val="single" w:color="D8DCE4" w:sz="4"/>
          <w:right w:val="none"/>
          <w:insideH w:val="single" w:color="D8DCE4" w:sz="2"/>
          <w:insideV w:val="none"/>
        </w:tblBorders>
      </w:tblPr>
      <w:tblGrid>
        <w:gridCol w:w="1560"/>
        <w:gridCol w:w="1440"/>
        <w:gridCol w:w="3660"/>
        <w:gridCol w:w="2700"/>
      </w:tblGrid>
      <w:tr>
        <w:trPr>
          <w:tblHeader/>
        </w:trPr>
        <w:tc>
          <w:tcPr>
            <w:tcW w:type="dxa" w:w="156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AREA</w:t>
            </w:r>
          </w:p>
        </w:tc>
        <w:tc>
          <w:tcPr>
            <w:tcW w:type="dxa" w:w="144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STATE</w:t>
            </w:r>
          </w:p>
        </w:tc>
        <w:tc>
          <w:tcPr>
            <w:tcW w:type="dxa" w:w="366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EVIDENCE</w:t>
            </w:r>
          </w:p>
        </w:tc>
        <w:tc>
          <w:tcPr>
            <w:tcW w:type="dxa" w:w="2700"/>
            <w:shd w:fill="F2F4F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C6373"/>
                <w:spacing w:val="20"/>
                <w:sz w:val="15"/>
                <w:szCs w:val="15"/>
              </w:rPr>
              <w:t xml:space="preserve">COST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Visual system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Strong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Obsidian palette matches DESIGN.md exactly; 17.01:1 body contrast, 6.53:1 muted; DM Sans + Space Grotesk live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Motion craft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Exceptional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Procedural 280-gradient colour field as SVG pattern fill; measured 3D flip; 33 rAF sites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Reachable product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Broken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8 views + 2 overlays orphaned; only chat, /teams and /create route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Most of the product is invisible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Execution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Absent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136 lines of backend; zero subprocess/exec primitives; tasks never leave queued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The company cannot act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Absent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In-memory dict and list; company 404s after restart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Contradicts “persistent company”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Mobile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Broken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scrollWidth 451 vs clientWidth 375 at the mobile preset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Sideways scroll on phones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Fails own spec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Send 30×30, composer 31px — PRODUCT.md requires 44px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Stated requirement unmet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Thin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1 CSS block covering 33 JS animation sites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Motion cannot be turned off</w:t>
            </w:r>
          </w:p>
        </w:tc>
      </w:tr>
      <w:tr>
        <w:tc>
          <w:tcPr>
            <w:tcW w:type="dxa" w:w="15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D24"/>
                <w:sz w:val="19"/>
                <w:szCs w:val="19"/>
              </w:rPr>
              <w:t xml:space="preserve">Budget enforcement</w:t>
            </w:r>
          </w:p>
        </w:tc>
        <w:tc>
          <w:tcPr>
            <w:tcW w:type="dxa" w:w="14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Declared only</w:t>
            </w:r>
          </w:p>
        </w:tc>
        <w:tc>
          <w:tcPr>
            <w:tcW w:type="dxa" w:w="3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ORCHA_MAX_COMPANY_BUDGET_USD=25 read by nothing</w:t>
            </w:r>
          </w:p>
        </w:tc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5C6373"/>
                <w:sz w:val="19"/>
                <w:szCs w:val="19"/>
              </w:rPr>
              <w:t xml:space="preserve">Category’s top fear, unaddressed</w:t>
            </w:r>
          </w:p>
        </w:tc>
      </w:tr>
    </w:tbl>
    <w:tbl>
      <w:tblPr>
        <w:tblW w:type="dxa" w:w="9360"/>
        <w:tblBorders>
          <w:top w:val="none"/>
          <w:left w:val="single" w:color="6B5BD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6B5BD6"/>
                <w:spacing w:val="30"/>
                <w:sz w:val="16"/>
                <w:szCs w:val="16"/>
              </w:rPr>
              <w:t xml:space="preserve">THE PATTERN IN THE DIAGNOSIS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Orcha is strongest exactly where this category competes on taste, and absent exactly where it competes on trust.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A1D24"/>
                <w:sz w:val="21"/>
                <w:szCs w:val="21"/>
              </w:rPr>
              <w:t xml:space="preserve">The visual and motion work would hold up against Linear. The execution, persistence, audit trail and spend control — the things every source above names as decisive — are unbuilt or unwired.</w:t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BUILD ORDER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The roadmap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3"/>
          <w:szCs w:val="23"/>
        </w:rPr>
        <w:t xml:space="preserve">Ordered by evidence, not appetite. Each phase ends at something demonstrable, and no phase depends on a phase after it.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1 — Make it real for one person  (1–2 weeks)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Nothing else matters while a company evaporates on restart and most screens are unreachable. This phase buys back the product that is already written.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Fix the router.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main.tsx discards its setView argument; honouring it restores 8 views and 2 overlays in about ten lines.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SQLite persistence.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ORCHA_DATABASE_URL is already declared. Companies and events survive restart.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Mobile overflow and 44px targets.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Two CSS fixes; one is a stated requirement the product currently fails.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Gate the 33 rAF sites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behind matchMedia(‘(prefers-reduced-motion: reduce)’) — JS animation bypasses the CSS media query entirely.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aria-hidden on the FlipWord layers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so the headline stops reading as “…CREATEBUILDAUTOMATE…”.</w:t>
      </w:r>
    </w:p>
    <w:p>
      <w:pPr>
        <w:spacing w:after="22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a company that survives a reboot, on a phone.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2 — Let the company actually do something  (2–4 weeks)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The moment a task moves from queued to completed on its own, Orcha stops being a mockup. This is the smallest change that alters the product’s nature.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Worker loop.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Claim a queued task, run it, emit task.started / completed / failed. Roughly 60–80 lines over the existing bus.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One real agent runtime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a single role, LLM plus a narrow tool loop. Model access already exists; it is just in the wrong place.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Move /api/chat server-side.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It lives in a Vite configureServer hook, so production builds have no chat endpoint at all.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Workspace-scoped filesystem tool only.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ORCHA_WORKSPACE_ROOT is declared for exactly this.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Five budget limits before any shell access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per-run, daily, rate, per-tool, approval threshold — enforced pre-call, not alerted post-hoc.</w:t>
      </w:r>
    </w:p>
    <w:p>
      <w:pPr>
        <w:spacing w:after="22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a task that completes without a human. The first genuinely defensible demo.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3 — Sixty seconds to a company  (1–2 weeks)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The highest-leverage activation work in the study. The chat surface already exists; the wizard in front of it is costing roughly two-thirds of achievable activation.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Delete the intent cards.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Pure click tax by the research’s own definition.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Draft the company from the first sentence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name, objective, first milestone, proposed team — before asking anything. This is Gamma’s pattern.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Constraints become conversation,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asked only when they change the plan.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Intent preview at the plan step: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Proceed / Edit / Cancel. Three options, never binary.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Permissions in English.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Replace repo.write, shell.test and external.send with “write code and run tests in its own workspace.”</w:t>
      </w:r>
    </w:p>
    <w:p>
      <w:pPr>
        <w:spacing w:after="22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sentence in, running company out, under a minute.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4 — Trust surfaces  (2–3 weeks)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Every source names this as what separates products people keep from products people try. Most of it is already designed and merely unmounted.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Mount the AgentDrawer.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Doing / Why / Files / Tools / Outcome is explainable rationale, already written.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Audit trail with undo.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The event bus is two-thirds of it; undo is the part that makes people grant autonomy.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Four status layers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ambient, progress, attention, summary. Never notify on progress milestones.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Per-department autonomy dial,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not a global setting.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Binary confidence,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not percentages. Faster intervention decisions.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“While you were away” as the home screen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it is the single most consumer-legible idea in the codebase.</w:t>
      </w:r>
    </w:p>
    <w:p>
      <w:pPr>
        <w:spacing w:after="22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a company you would leave running overnight.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5 — Scale the org without scaling the noise  (3–4 weeks)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32 specialists is a wall of noise unless departments stay the consumer unit. This is where Relevance AI’s “killer feature” becomes a liability if handled wrong.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Computed map layout.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types.ts hardcodes four positions and styles.css places nodes by class name — the specific blocker to rendering N agents.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Hiring as progression.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Orcha proposes, owner approves. Gamification research reports 47% higher 90-day retention where progression is real rather than cosmetic.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On-demand departments.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32 concurrent agents does not fit a $25/day cap; waking on work is both cheaper and more honest.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Dev mode as a toggle,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not a separate app — same data, different altitude. This is the adaptive-interface pattern.</w:t>
      </w:r>
    </w:p>
    <w:p>
      <w:pPr>
        <w:spacing w:after="22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a company that visibly grows, without a wall of agents.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A1D24"/>
          <w:sz w:val="26"/>
          <w:szCs w:val="26"/>
        </w:rPr>
        <w:t xml:space="preserve">Phase 6 — Survive contact with the 80/20 wall  (ongoing)</w:t>
      </w:r>
    </w:p>
    <w:p>
      <w:pPr>
        <w:spacing w:after="14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The documented churn point for every product in this category. Orcha’s persistent-company premise is the natural answer and needs to be built as one deliberately.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Never charge for the model’s own retries.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The 400-credits-in-an-hour complaint is a trust wound, not a billing detail.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Spend legible in dollars,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with the cap visible before work starts, not after.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Maintenance as a first-class mode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— the company keeps the thing working after launch. This is the differentiator against every builder that ships an artifact and leaves.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Always-on runtime on a real host.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Free tiers that sleep contradict the premise; only a genuinely always-on VM matches it.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Ships: </w:t>
      </w:r>
      <w:r>
        <w:rPr>
          <w:rFonts w:ascii="Calibri" w:cs="Calibri" w:eastAsia="Calibri" w:hAnsi="Calibri"/>
          <w:color w:val="1A1D24"/>
          <w:sz w:val="21"/>
          <w:szCs w:val="21"/>
        </w:rPr>
        <w:t xml:space="preserve">the reason to keep paying in month three.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RESTRAINT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What the research says not to build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lead with the agent map.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Consumers care about the artifact, not the org chart. Relevance AI’s orchestration is admired by reviewers and still loses on setup friction.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surface percentages.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Binary confidence outperforms numeric certainty for intervention speed.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notify on progress.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The cry-wolf dashboard trains users to ignore the one notification that matters.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spawn all 32 agents.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It is expensive, it is noisy, and idle agents that pretend to be busy are the “theatrically busy” anti-pattern the codebase already rejects in a comment.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add a credits system yet.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Credit fatigue is real and rising; dollars against a visible cap are more honest at this stage.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A1D24"/>
          <w:sz w:val="21"/>
          <w:szCs w:val="21"/>
        </w:rPr>
        <w:t xml:space="preserve">Do not build more views before the router is fixed.</w:t>
      </w:r>
      <w:r>
        <w:rPr>
          <w:rFonts w:ascii="Calibri" w:cs="Calibri" w:eastAsia="Calibri" w:hAnsi="Calibri"/>
          <w:color w:val="5C6373"/>
          <w:sz w:val="21"/>
          <w:szCs w:val="21"/>
        </w:rPr>
        <w:t xml:space="preserve"> Ten views nobody can reach is worse than three that work.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5C6373"/>
          <w:spacing w:val="30"/>
          <w:sz w:val="16"/>
          <w:szCs w:val="16"/>
        </w:rPr>
        <w:t xml:space="preserve">PROVENANCE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A1D24"/>
          <w:sz w:val="34"/>
          <w:szCs w:val="34"/>
        </w:rPr>
        <w:t xml:space="preserve">Sources</w:t>
      </w:r>
    </w:p>
    <w:p>
      <w:pPr>
        <w:spacing w:after="200" w:line="300"/>
      </w:pPr>
      <w:r>
        <w:rPr>
          <w:rFonts w:ascii="Calibri" w:cs="Calibri" w:eastAsia="Calibri" w:hAnsi="Calibri"/>
          <w:color w:val="5C6373"/>
          <w:sz w:val="21"/>
          <w:szCs w:val="21"/>
        </w:rPr>
        <w:t xml:space="preserve">Figures are quoted as published. Where a claim rests on a single vendor’s blog it is attributed as such in the text. Codebase figures were measured in the running application.</w:t>
      </w:r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MindStudio — State of AI App Builders, Q3 2026 — </w:t>
      </w:r>
      <w:hyperlink w:history="1" r:id="rIdxskdwu2zi4ivbzro1kkfd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https://www.mindstudio.ai/blog/state-of-ai-app-builders-q3-2026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Lovable — Best AI App Builders 2026 — </w:t>
      </w:r>
      <w:hyperlink w:history="1" r:id="rIdrxkp_l8rz2i6vwyfjfkkw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https://lovable.dev/guides/best-ai-app-builders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Mocha — Lovable vs Bolt vs v0 vs Mocha — </w:t>
      </w:r>
      <w:hyperlink w:history="1" r:id="rIdxn3saze9-jhjjvf9ixcwe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https://getmocha.com/blog/best-ai-app-builder-2026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Builder.io — Limitations of Vibe Coding Tools — </w:t>
      </w:r>
      <w:hyperlink w:history="1" r:id="rIdz8fpdyemgfhb91kuv2djz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https://www.builder.io/m/explainers/vibe-coding-limitations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App Builder Guides — The Vibe Coding Disillusionment — </w:t>
      </w:r>
      <w:hyperlink w:history="1" r:id="rIdgpv5rmavyh8abqmxu0wfw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https://appbuilderguides.com/news/vibe-coding-disillusionment-2026/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Hashnode — State of Vibe Coding 2026 — </w:t>
      </w:r>
      <w:hyperlink w:history="1" r:id="rIdgcyzkeibbyh2wgrlp6fqn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https://hashnode.com/blog/state-of-vibe-coding-2026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Vellum — 10 Best AI Employees in 2026 — </w:t>
      </w:r>
      <w:hyperlink w:history="1" r:id="rId-dn61ezgs17dlljgpjcmb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https://www.vellum.ai/blog/best-ai-employees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Unite.AI — Lindy AI Review — </w:t>
      </w:r>
      <w:hyperlink w:history="1" r:id="rId1v2nxb6gcuu_baf3zxn5y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https://www.unite.ai/lindy-ai-review/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Lindy — What is an AI employee — </w:t>
      </w:r>
      <w:hyperlink w:history="1" r:id="rId_qcmc2adhvzyor9poy-_k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https://www.lindy.ai/blog/ai-employee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Sintra — Relevance AI alternatives — </w:t>
      </w:r>
      <w:hyperlink w:history="1" r:id="rIdnaew5raxpkhd004nk0isx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https://sintra.ai/blog/relevance-ai-alternative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Gumloop — Relevance AI alternatives — </w:t>
      </w:r>
      <w:hyperlink w:history="1" r:id="rIdinf07yywt87ufdl35moxj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https://www.gumloop.com/blog/relevance-ai-alternative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Eleken — 6 Agentic UX Design Patterns — </w:t>
      </w:r>
      <w:hyperlink w:history="1" r:id="rIdo954pgolczi8fqzzs4oo7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https://www.eleken.co/blog-posts/agentic-ux-examples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AI Design Patterns — Agent Status Monitoring — </w:t>
      </w:r>
      <w:hyperlink w:history="1" r:id="rId4hd_atjjq8li1kyqwdd6h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https://www.aiuxdesign.guide/patterns/agent-status-monitoring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Zylos — Agentic UX Frontend Patterns 2026 — </w:t>
      </w:r>
      <w:hyperlink w:history="1" r:id="rIdii-b0nygzxxsbhbqmrsgu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https://zylos.ai/research/2026-05-28-agentic-ux-frontend-design-patterns-ai-agents/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Brent Haskins — Agent Observability is a Product UX Problem — </w:t>
      </w:r>
      <w:hyperlink w:history="1" r:id="rIds6idnskqs5scgqwu6apqu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https://brenthaskins.com/blog/ai-agent-observability-product-ux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Mantlr — Designing for AI Agents, 10 UX Patterns — </w:t>
      </w:r>
      <w:hyperlink w:history="1" r:id="rIdd9gdc5i1chwnfrzspehjo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https://mantlr.com/blog/designing-for-ai-agents-ux-patterns-2026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Fuse Lab — UI Design for AI Agents 2026 — </w:t>
      </w:r>
      <w:hyperlink w:history="1" r:id="rIdthh9mfkvx4qtgb1pox9iu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https://fuselabcreative.com/ui-design-for-ai-agents/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ProductLed — AI Onboarding: Activate Users in Under 60 Seconds — </w:t>
      </w:r>
      <w:hyperlink w:history="1" r:id="rIdra1oiswieze9uwglwur2-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https://productled.com/blog/ai-onboarding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Userpilot — Best User Onboarding Experiences 2026 — </w:t>
      </w:r>
      <w:hyperlink w:history="1" r:id="rIdijqpxga-hjztrboz9wgpg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https://userpilot.com/blog/best-user-onboarding-experience/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Perspective AI — 2026 Onboarding Benchmark Report — </w:t>
      </w:r>
      <w:hyperlink w:history="1" r:id="rIdfsofgq4byj4eoae5hlv4p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https://getperspective.ai/blog/2026-customer-onboarding-benchmark-activation-rates-by-industry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Digital Applied — Time to Value Framework 2026 — </w:t>
      </w:r>
      <w:hyperlink w:history="1" r:id="rIdqwockc4y_k15nsxzokas4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https://www.digitalapplied.com/blog/customer-onboarding-time-to-value-2026-saas-metrics-framework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Toolchase — Manus AI Review 2026 — </w:t>
      </w:r>
      <w:hyperlink w:history="1" r:id="rIdktxzmaoklaodmxa7arymk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https://toolchase.com/blog/manus-ai-review/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StackBuilt — Manus AI Full Lifecycle Test — </w:t>
      </w:r>
      <w:hyperlink w:history="1" r:id="rIdcfgufjhakypbkcohefngx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https://stackbuilt.co/blog/manus-ai-agent-review-2026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Web3AI — Best Autonomous AI Agents 2026 — </w:t>
      </w:r>
      <w:hyperlink w:history="1" r:id="rIdtgd1dlokwxgboz4xfkcvh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https://www.web3aiblog.com/blog/best-autonomous-ai-agents-2026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daily.dev — Best AI Coding Agents 2026 — </w:t>
      </w:r>
      <w:hyperlink w:history="1" r:id="rIdj6gfx6g8olqvm3xxknkh_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https://daily.dev/blog/best-ai-coding-agents-comparison/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Toolchase — Codex vs Devin vs Cursor vs Claude Code — </w:t>
      </w:r>
      <w:hyperlink w:history="1" r:id="rIdzjsprgwnrlvf3wzzocmr2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https://toolchase.com/blog/ai-coding-agents-2026/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Futureproofing — Claude Code vs Cursor Agent Mode — </w:t>
      </w:r>
      <w:hyperlink w:history="1" r:id="rIdpyagjvagqhm-nkv4favr2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https://www.futureproofing.dev/resources/ai-native-team/claude-code-vs-cursor-agent-mode-2026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Lago — 7 AI Pricing Models: What Works, What Breaks — </w:t>
      </w:r>
      <w:hyperlink w:history="1" r:id="rIdlbcstagwbgkjaov2gcfse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https://getlago.com/blog/ai-pricing-models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Monetizely — 2026 Guide to Agentic Pricing — </w:t>
      </w:r>
      <w:hyperlink w:history="1" r:id="rId_okcd0f8mfhheuewdxz61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https://www.getmonetizely.com/blogs/the-2026-guide-to-saas-ai-and-agentic-pricing-models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BuildMVPFast — Why Subscriptions Fail for Agents — </w:t>
      </w:r>
      <w:hyperlink w:history="1" r:id="rIdlscs8t2tnxleftobk-gtg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https://www.buildmvpfast.com/blog/ai-agent-pricing-subscription-usage-outcome-2026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Userpilot — SaaS Pricing Models After the AI Panic — </w:t>
      </w:r>
      <w:hyperlink w:history="1" r:id="rId2umf19enix28-w6mfmj1i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https://userpilot.com/blog/saas-pricing-models/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Portal26 — AI Agent Cost Control — </w:t>
      </w:r>
      <w:hyperlink w:history="1" r:id="rIddpvovxethap6p4i1_wtxb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https://portal26.ai/ai-agent-cost-control-stop-agents-burning-budget/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Nexgismo — AI Agent Budget Guards — </w:t>
      </w:r>
      <w:hyperlink w:history="1" r:id="rIdgi6kapkgdr1m1cnqvwv9b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https://www.nexgismo.com/blog/ai-agent-budget-guards-stop-runaway-api-costs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Pylva — Pre-Call Budget Enforcement — </w:t>
      </w:r>
      <w:hyperlink w:history="1" r:id="rId9n2nuusttcxkl6czl0-0l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https://pylva.com/guides/pre-call-budget-enforcement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Studio Maydit — The Linear, Vercel, Raycast Aesthetic — </w:t>
      </w:r>
      <w:hyperlink w:history="1" r:id="rIdo-4qd0cyqrqc4kf2akag1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https://studiomaydit.com/blog/linear-vercel-raycast-aesthetic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Pixic — The Micro-Transition Stack of Linear and Raycast — </w:t>
      </w:r>
      <w:hyperlink w:history="1" r:id="rIdhar2ku8yy1ilsvse4kfq5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https://pixicstudio.medium.com/the-micro-transition-stack-used-by-linear-and-raycast-4fac298d5b9e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LogRocket — UI Patterns for Async Workflows — </w:t>
      </w:r>
      <w:hyperlink w:history="1" r:id="rIdxpdjnk5c6wszag4lspsqc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https://blog.logrocket.com/ux-design/ui-patterns-for-async-workflows-background-jobs-and-data-pipelines/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AI UX Playground — Background Agents — </w:t>
      </w:r>
      <w:hyperlink w:history="1" r:id="rIdtefxfbcld8udz4ltiepwg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https://aiuxplayground.com/glossary/background-agent/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StriveCloud — Gamification and Engagement — </w:t>
      </w:r>
      <w:hyperlink w:history="1" r:id="rIdofaf3pgg4lrwus4klpilt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https://www.strivecloud.io/blog/10-ways-to-drive-engagement</w:t>
        </w:r>
      </w:hyperlink>
    </w:p>
    <w:p>
      <w:pPr>
        <w:spacing w:after="70" w:line="260"/>
      </w:pPr>
      <w:r>
        <w:rPr>
          <w:rFonts w:ascii="Calibri" w:cs="Calibri" w:eastAsia="Calibri" w:hAnsi="Calibri"/>
          <w:color w:val="1A1D24"/>
          <w:sz w:val="18"/>
          <w:szCs w:val="18"/>
        </w:rPr>
        <w:t xml:space="preserve">Arahi AI — 12 Leading AI Agent Companies Compared — </w:t>
      </w:r>
      <w:hyperlink w:history="1" r:id="rIdcpsb6uy81awbacwrb70f1">
        <w:r>
          <w:rPr>
            <w:rFonts w:ascii="Calibri" w:cs="Calibri" w:eastAsia="Calibri" w:hAnsi="Calibri"/>
            <w:color w:val="2A6BB5"/>
            <w:sz w:val="17"/>
            <w:szCs w:val="17"/>
            <w:u w:val="single"/>
          </w:rPr>
          <w:t xml:space="preserve">https://arahi.ai/blog/ai-agents-companies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skdwu2zi4ivbzro1kkfd" Type="http://schemas.openxmlformats.org/officeDocument/2006/relationships/hyperlink" Target="https://www.mindstudio.ai/blog/state-of-ai-app-builders-q3-2026" TargetMode="External"/><Relationship Id="rIdrxkp_l8rz2i6vwyfjfkkw" Type="http://schemas.openxmlformats.org/officeDocument/2006/relationships/hyperlink" Target="https://lovable.dev/guides/best-ai-app-builders" TargetMode="External"/><Relationship Id="rIdxn3saze9-jhjjvf9ixcwe" Type="http://schemas.openxmlformats.org/officeDocument/2006/relationships/hyperlink" Target="https://getmocha.com/blog/best-ai-app-builder-2026" TargetMode="External"/><Relationship Id="rIdz8fpdyemgfhb91kuv2djz" Type="http://schemas.openxmlformats.org/officeDocument/2006/relationships/hyperlink" Target="https://www.builder.io/m/explainers/vibe-coding-limitations" TargetMode="External"/><Relationship Id="rIdgpv5rmavyh8abqmxu0wfw" Type="http://schemas.openxmlformats.org/officeDocument/2006/relationships/hyperlink" Target="https://appbuilderguides.com/news/vibe-coding-disillusionment-2026/" TargetMode="External"/><Relationship Id="rIdgcyzkeibbyh2wgrlp6fqn" Type="http://schemas.openxmlformats.org/officeDocument/2006/relationships/hyperlink" Target="https://hashnode.com/blog/state-of-vibe-coding-2026" TargetMode="External"/><Relationship Id="rId-dn61ezgs17dlljgpjcmb" Type="http://schemas.openxmlformats.org/officeDocument/2006/relationships/hyperlink" Target="https://www.vellum.ai/blog/best-ai-employees" TargetMode="External"/><Relationship Id="rId1v2nxb6gcuu_baf3zxn5y" Type="http://schemas.openxmlformats.org/officeDocument/2006/relationships/hyperlink" Target="https://www.unite.ai/lindy-ai-review/" TargetMode="External"/><Relationship Id="rId_qcmc2adhvzyor9poy-_k" Type="http://schemas.openxmlformats.org/officeDocument/2006/relationships/hyperlink" Target="https://www.lindy.ai/blog/ai-employee" TargetMode="External"/><Relationship Id="rIdnaew5raxpkhd004nk0isx" Type="http://schemas.openxmlformats.org/officeDocument/2006/relationships/hyperlink" Target="https://sintra.ai/blog/relevance-ai-alternative" TargetMode="External"/><Relationship Id="rIdinf07yywt87ufdl35moxj" Type="http://schemas.openxmlformats.org/officeDocument/2006/relationships/hyperlink" Target="https://www.gumloop.com/blog/relevance-ai-alternative" TargetMode="External"/><Relationship Id="rIdo954pgolczi8fqzzs4oo7" Type="http://schemas.openxmlformats.org/officeDocument/2006/relationships/hyperlink" Target="https://www.eleken.co/blog-posts/agentic-ux-examples" TargetMode="External"/><Relationship Id="rId4hd_atjjq8li1kyqwdd6h" Type="http://schemas.openxmlformats.org/officeDocument/2006/relationships/hyperlink" Target="https://www.aiuxdesign.guide/patterns/agent-status-monitoring" TargetMode="External"/><Relationship Id="rIdii-b0nygzxxsbhbqmrsgu" Type="http://schemas.openxmlformats.org/officeDocument/2006/relationships/hyperlink" Target="https://zylos.ai/research/2026-05-28-agentic-ux-frontend-design-patterns-ai-agents/" TargetMode="External"/><Relationship Id="rIds6idnskqs5scgqwu6apqu" Type="http://schemas.openxmlformats.org/officeDocument/2006/relationships/hyperlink" Target="https://brenthaskins.com/blog/ai-agent-observability-product-ux" TargetMode="External"/><Relationship Id="rIdd9gdc5i1chwnfrzspehjo" Type="http://schemas.openxmlformats.org/officeDocument/2006/relationships/hyperlink" Target="https://mantlr.com/blog/designing-for-ai-agents-ux-patterns-2026" TargetMode="External"/><Relationship Id="rIdthh9mfkvx4qtgb1pox9iu" Type="http://schemas.openxmlformats.org/officeDocument/2006/relationships/hyperlink" Target="https://fuselabcreative.com/ui-design-for-ai-agents/" TargetMode="External"/><Relationship Id="rIdra1oiswieze9uwglwur2-" Type="http://schemas.openxmlformats.org/officeDocument/2006/relationships/hyperlink" Target="https://productled.com/blog/ai-onboarding" TargetMode="External"/><Relationship Id="rIdijqpxga-hjztrboz9wgpg" Type="http://schemas.openxmlformats.org/officeDocument/2006/relationships/hyperlink" Target="https://userpilot.com/blog/best-user-onboarding-experience/" TargetMode="External"/><Relationship Id="rIdfsofgq4byj4eoae5hlv4p" Type="http://schemas.openxmlformats.org/officeDocument/2006/relationships/hyperlink" Target="https://getperspective.ai/blog/2026-customer-onboarding-benchmark-activation-rates-by-industry" TargetMode="External"/><Relationship Id="rIdqwockc4y_k15nsxzokas4" Type="http://schemas.openxmlformats.org/officeDocument/2006/relationships/hyperlink" Target="https://www.digitalapplied.com/blog/customer-onboarding-time-to-value-2026-saas-metrics-framework" TargetMode="External"/><Relationship Id="rIdktxzmaoklaodmxa7arymk" Type="http://schemas.openxmlformats.org/officeDocument/2006/relationships/hyperlink" Target="https://toolchase.com/blog/manus-ai-review/" TargetMode="External"/><Relationship Id="rIdcfgufjhakypbkcohefngx" Type="http://schemas.openxmlformats.org/officeDocument/2006/relationships/hyperlink" Target="https://stackbuilt.co/blog/manus-ai-agent-review-2026" TargetMode="External"/><Relationship Id="rIdtgd1dlokwxgboz4xfkcvh" Type="http://schemas.openxmlformats.org/officeDocument/2006/relationships/hyperlink" Target="https://www.web3aiblog.com/blog/best-autonomous-ai-agents-2026" TargetMode="External"/><Relationship Id="rIdj6gfx6g8olqvm3xxknkh_" Type="http://schemas.openxmlformats.org/officeDocument/2006/relationships/hyperlink" Target="https://daily.dev/blog/best-ai-coding-agents-comparison/" TargetMode="External"/><Relationship Id="rIdzjsprgwnrlvf3wzzocmr2" Type="http://schemas.openxmlformats.org/officeDocument/2006/relationships/hyperlink" Target="https://toolchase.com/blog/ai-coding-agents-2026/" TargetMode="External"/><Relationship Id="rIdpyagjvagqhm-nkv4favr2" Type="http://schemas.openxmlformats.org/officeDocument/2006/relationships/hyperlink" Target="https://www.futureproofing.dev/resources/ai-native-team/claude-code-vs-cursor-agent-mode-2026" TargetMode="External"/><Relationship Id="rIdlbcstagwbgkjaov2gcfse" Type="http://schemas.openxmlformats.org/officeDocument/2006/relationships/hyperlink" Target="https://getlago.com/blog/ai-pricing-models" TargetMode="External"/><Relationship Id="rId_okcd0f8mfhheuewdxz61" Type="http://schemas.openxmlformats.org/officeDocument/2006/relationships/hyperlink" Target="https://www.getmonetizely.com/blogs/the-2026-guide-to-saas-ai-and-agentic-pricing-models" TargetMode="External"/><Relationship Id="rIdlscs8t2tnxleftobk-gtg" Type="http://schemas.openxmlformats.org/officeDocument/2006/relationships/hyperlink" Target="https://www.buildmvpfast.com/blog/ai-agent-pricing-subscription-usage-outcome-2026" TargetMode="External"/><Relationship Id="rId2umf19enix28-w6mfmj1i" Type="http://schemas.openxmlformats.org/officeDocument/2006/relationships/hyperlink" Target="https://userpilot.com/blog/saas-pricing-models/" TargetMode="External"/><Relationship Id="rIddpvovxethap6p4i1_wtxb" Type="http://schemas.openxmlformats.org/officeDocument/2006/relationships/hyperlink" Target="https://portal26.ai/ai-agent-cost-control-stop-agents-burning-budget/" TargetMode="External"/><Relationship Id="rIdgi6kapkgdr1m1cnqvwv9b" Type="http://schemas.openxmlformats.org/officeDocument/2006/relationships/hyperlink" Target="https://www.nexgismo.com/blog/ai-agent-budget-guards-stop-runaway-api-costs" TargetMode="External"/><Relationship Id="rId9n2nuusttcxkl6czl0-0l" Type="http://schemas.openxmlformats.org/officeDocument/2006/relationships/hyperlink" Target="https://pylva.com/guides/pre-call-budget-enforcement" TargetMode="External"/><Relationship Id="rIdo-4qd0cyqrqc4kf2akag1" Type="http://schemas.openxmlformats.org/officeDocument/2006/relationships/hyperlink" Target="https://studiomaydit.com/blog/linear-vercel-raycast-aesthetic" TargetMode="External"/><Relationship Id="rIdhar2ku8yy1ilsvse4kfq5" Type="http://schemas.openxmlformats.org/officeDocument/2006/relationships/hyperlink" Target="https://pixicstudio.medium.com/the-micro-transition-stack-used-by-linear-and-raycast-4fac298d5b9e" TargetMode="External"/><Relationship Id="rIdxpdjnk5c6wszag4lspsqc" Type="http://schemas.openxmlformats.org/officeDocument/2006/relationships/hyperlink" Target="https://blog.logrocket.com/ux-design/ui-patterns-for-async-workflows-background-jobs-and-data-pipelines/" TargetMode="External"/><Relationship Id="rIdtefxfbcld8udz4ltiepwg" Type="http://schemas.openxmlformats.org/officeDocument/2006/relationships/hyperlink" Target="https://aiuxplayground.com/glossary/background-agent/" TargetMode="External"/><Relationship Id="rIdofaf3pgg4lrwus4klpilt" Type="http://schemas.openxmlformats.org/officeDocument/2006/relationships/hyperlink" Target="https://www.strivecloud.io/blog/10-ways-to-drive-engagement" TargetMode="External"/><Relationship Id="rIdcpsb6uy81awbacwrb70f1" Type="http://schemas.openxmlformats.org/officeDocument/2006/relationships/hyperlink" Target="https://arahi.ai/blog/ai-agents-companies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Orcha Field Study</dc:title>
  <dc:creator>Orcha</dc:creator>
  <dc:description>Competitive research on AI app builders and agent workforces, read against the Orcha codebase.</dc:description>
  <cp:lastModifiedBy>Un-named</cp:lastModifiedBy>
  <cp:revision>1</cp:revision>
  <dcterms:created xsi:type="dcterms:W3CDTF">2026-08-23T04:34:47.872Z</dcterms:created>
  <dcterms:modified xsi:type="dcterms:W3CDTF">2026-08-23T04:34:47.873Z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