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b/>
          <w:bCs/>
          <w:color w:val="595959"/>
          <w:sz w:val="20"/>
          <w:szCs w:val="20"/>
        </w:rPr>
        <w:t xml:space="preserve">UNIVERSIDADE FEDERAL DO RIO DE JANEIRO</w:t>
      </w:r>
    </w:p>
    <w:p>
      <w:pPr>
        <w:spacing w:after="40"/>
      </w:pPr>
      <w:r>
        <w:rPr>
          <w:color w:val="595959"/>
          <w:sz w:val="20"/>
          <w:szCs w:val="20"/>
        </w:rPr>
        <w:t xml:space="preserve">Instituto Alberto Luiz Coimbra de Pós-Graduação e Pesquisa de Engenharia — COPPE</w:t>
      </w:r>
    </w:p>
    <w:p>
      <w:pPr>
        <w:spacing w:after="1400"/>
      </w:pPr>
      <w:r>
        <w:rPr>
          <w:color w:val="595959"/>
          <w:sz w:val="20"/>
          <w:szCs w:val="20"/>
        </w:rPr>
        <w:t xml:space="preserve">Comissão de Programas de Pós-Graduação — CPGP</w:t>
      </w:r>
    </w:p>
    <w:p>
      <w:pPr>
        <w:spacing w:after="200"/>
      </w:pPr>
      <w:r>
        <w:rPr>
          <w:b/>
          <w:bCs/>
          <w:color w:val="B45309"/>
          <w:spacing w:val="40"/>
          <w:sz w:val="22"/>
          <w:szCs w:val="22"/>
        </w:rPr>
        <w:t xml:space="preserve">PROPOSTA DE RESOLUÇÃO</w:t>
      </w:r>
    </w:p>
    <w:p>
      <w:pPr>
        <w:spacing w:after="300"/>
      </w:pPr>
      <w:r>
        <w:rPr>
          <w:b/>
          <w:bCs/>
          <w:color w:val="1F3A5F"/>
          <w:sz w:val="44"/>
          <w:szCs w:val="44"/>
        </w:rPr>
        <w:t xml:space="preserve">Norma para a Elaboração Gráfica de Teses e Dissertações da COPPE/UFRJ — edição 2026</w:t>
      </w:r>
    </w:p>
    <w:p>
      <w:pPr>
        <w:pBdr>
          <w:bottom w:val="single" w:color="1F3A5F" w:sz="8" w:space="12"/>
        </w:pBdr>
        <w:spacing w:after="1600" w:line="320"/>
      </w:pPr>
      <w:r>
        <w:rPr>
          <w:color w:val="404040"/>
          <w:sz w:val="26"/>
          <w:szCs w:val="26"/>
        </w:rPr>
        <w:t xml:space="preserve">As escolhas que cabem à COPPE diante das regras da UFRJ, uma a uma, com a regra de origem, as alternativas e a proposta</w:t>
      </w:r>
    </w:p>
    <w:p>
      <w:pPr>
        <w:spacing w:after="40"/>
      </w:pPr>
      <w:r>
        <w:rPr>
          <w:b/>
          <w:bCs/>
        </w:rPr>
        <w:t xml:space="preserve">Origem:</w:t>
      </w:r>
      <w:r>
        <w:t xml:space="preserve"> equipe mantenedora do CoppeTeX</w:t>
      </w:r>
    </w:p>
    <w:p>
      <w:pPr>
        <w:spacing w:after="40"/>
      </w:pPr>
      <w:r>
        <w:rPr>
          <w:b/>
          <w:bCs/>
        </w:rPr>
        <w:t xml:space="preserve">Data:</w:t>
      </w:r>
      <w:r>
        <w:t xml:space="preserve"> outubro de 2026</w:t>
      </w:r>
    </w:p>
    <w:p>
      <w:pPr>
        <w:spacing w:after="40"/>
      </w:pPr>
      <w:r>
        <w:rPr>
          <w:b/>
          <w:bCs/>
        </w:rPr>
        <w:t xml:space="preserve">Acompanha:</w:t>
      </w:r>
      <w:r>
        <w:t xml:space="preserve"> NORMA_COPPE_2026 (texto da Norma proposta, que vai como Anexo da resolução)</w:t>
      </w:r>
    </w:p>
    <w:p>
      <w:pPr>
        <w:spacing w:after="40"/>
      </w:pPr>
      <w:r>
        <w:rPr>
          <w:b/>
          <w:bCs/>
        </w:rPr>
        <w:t xml:space="preserve">Base:</w:t>
      </w:r>
      <w:r>
        <w:t xml:space="preserve"> </w:t>
      </w:r>
      <w:r>
        <w:rPr>
          <w:i/>
          <w:iCs/>
        </w:rPr>
        <w:t xml:space="preserve">Manual para Elaboração e Normalização de Trabalhos Acadêmicos</w:t>
      </w:r>
      <w:r>
        <w:t xml:space="preserve">, UFRJ/SiBI, 9.ª ed. rev., 2026; Res. CEPG n. 302/2024; Res. CEPG n. 246/2023</w:t>
      </w:r>
    </w:p>
    <w:p>
      <w:r>
        <w:br w:type="page"/>
      </w:r>
    </w:p>
    <w:p>
      <w:pPr>
        <w:pStyle w:val="Heading1"/>
      </w:pPr>
      <w:r>
        <w:t xml:space="preserve">1  O que a CPGP está decidindo</w:t>
      </w:r>
    </w:p>
    <w:p>
      <w:pPr>
        <w:spacing w:after="120" w:line="288"/>
      </w:pPr>
      <w:r>
        <w:t xml:space="preserve">A norma gráfica da COPPE é de 2008, revista pela última vez em 2019. Desde então, a UFRJ decidiu sozinha a maior parte do que ela regulava: o </w:t>
      </w:r>
      <w:r>
        <w:rPr>
          <w:b/>
          <w:bCs/>
        </w:rPr>
        <w:t xml:space="preserve">Manual do SiBI</w:t>
      </w:r>
      <w:r>
        <w:t xml:space="preserve"> (9.ª edição revista, 2026) fixa formato, margens, espaçamento, corpo de letra, paginação, estrutura e apresentação das referências; a </w:t>
      </w:r>
      <w:r>
        <w:rPr>
          <w:b/>
          <w:bCs/>
        </w:rPr>
        <w:t xml:space="preserve">Res. CEPG n. 246/2023</w:t>
      </w:r>
      <w:r>
        <w:t xml:space="preserve"> extinguiu a via impressa; a </w:t>
      </w:r>
      <w:r>
        <w:rPr>
          <w:b/>
          <w:bCs/>
        </w:rPr>
        <w:t xml:space="preserve">Res. CEPG n. 302/2024</w:t>
      </w:r>
      <w:r>
        <w:t xml:space="preserve"> fixou os idiomas de redação; e o novo modelo de coleta da CAPES criou a folha adicional, obrigatória desde agosto de 2026.</w:t>
      </w:r>
    </w:p>
    <w:p>
      <w:pPr>
        <w:spacing w:after="120" w:line="288"/>
      </w:pPr>
      <w:r>
        <w:t xml:space="preserve">Sobre tudo isso a COPPE não tem o que decidir. Mas o próprio Manual deixa espaço para as unidades: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 utilização deste Manual pressupõe uma flexibilidade, fundamentada nas especificações de cada área do conhecimento e decisões convencionadas pelas congregações acadêmicas.”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 UFRJ/SiBI 2026, Introdução</w:t>
      </w:r>
    </w:p>
    <w:p>
      <w:pPr>
        <w:spacing w:after="120" w:line="288"/>
      </w:pPr>
      <w:r>
        <w:t xml:space="preserve">Esse espaço aparece de quatro formas no texto do Manual: quando ele diz </w:t>
      </w:r>
      <w:r>
        <w:rPr>
          <w:b/>
          <w:bCs/>
        </w:rPr>
        <w:t xml:space="preserve">“opcional”</w:t>
      </w:r>
      <w:r>
        <w:t xml:space="preserve">, </w:t>
      </w:r>
      <w:r>
        <w:rPr>
          <w:b/>
          <w:bCs/>
        </w:rPr>
        <w:t xml:space="preserve">“sugere-se”</w:t>
      </w:r>
      <w:r>
        <w:t xml:space="preserve"> ou </w:t>
      </w:r>
      <w:r>
        <w:rPr>
          <w:b/>
          <w:bCs/>
        </w:rPr>
        <w:t xml:space="preserve">“recomenda-se”</w:t>
      </w:r>
      <w:r>
        <w:t xml:space="preserve">; quando pede um dado que só a unidade tem (o nome do Programa); quando cala (a família tipográfica); e quando o texto e os exemplos dizem coisas diferentes. </w:t>
      </w:r>
      <w:r>
        <w:rPr>
          <w:b/>
          <w:bCs/>
        </w:rPr>
        <w:t xml:space="preserve">Este documento lista cada um desses pontos, mostra a regra da UFRJ de onde ele sai, as alternativas possíveis e a proposta</w:t>
      </w:r>
      <w:r>
        <w:t xml:space="preserve"> — para que a CPGP vote sabendo o que está escolhendo, e não um formato inteiro.</w:t>
      </w:r>
    </w:p>
    <w:p>
      <w:pPr>
        <w:pStyle w:val="Heading2"/>
      </w:pPr>
      <w:r>
        <w:t xml:space="preserve">1.1  Onde está cada regra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72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fixa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deixa à COPPE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Res. CEPG n. 302/2024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art. 57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Idiomas de redação: português, inglês ou espanhol; parte pós-textual em qualquer língua.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Outros idiomas, pelo regulamento do Programa (§ 1.º) — D7.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Res. CEPG n. 246/2023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Entrega exclusivamente digital; depósito na Base Minerva; fim da capa dura.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Nada quanto à forma.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Manual UFRJ/SiBI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, 9.ª ed. rev., 2026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Papel, margens, espaçamento, corpo 12, paginação, estrutura, resumos, ilustrações, citações, referências, PDF/A, folha adicional.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 que ele marca como opcional, sugerido ou recomendado, os dados próprios e os silêncios — D1 a D22.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Modelos do SiBI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(folha de rosto e folha adicional)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 desenho das duas folhas; valem como errata sobre os exemplos do Manual.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ABNT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(NBR 6023:2025, 10520:2023, 14724:2024)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Aplicam-se nas edições que o Manual cita, e por meio dele.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 Três regras de método</w:t>
      </w:r>
    </w:p>
    <w:p>
      <w:pPr>
        <w:spacing w:after="120" w:line="288"/>
      </w:pPr>
      <w:r>
        <w:t xml:space="preserve">A Norma proposta decide cada ponto seguindo sempre as mesmas três regras, e é por elas que as alternativas abaixo são avaliadas: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Onde o Manual obriga, vale o Manual.</w:t>
      </w:r>
      <w:r>
        <w:t xml:space="preserve"> A Norma não o contraria em nenhum ponto.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Norma decide só onde o Manual não obriga</w:t>
      </w:r>
      <w:r>
        <w:t xml:space="preserve"> — onde deixa escolha em aberto ou pede um dado que só a COPPE tem.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Ao decidir, fica com o que os exemplos do Manual mostram</w:t>
      </w:r>
      <w:r>
        <w:t xml:space="preserve">, e os modelos do SiBI valem como errata dos exemplos.</w:t>
      </w:r>
    </w:p>
    <w:p>
      <w:pPr>
        <w:spacing w:after="120" w:line="288"/>
      </w:pPr>
      <w:r>
        <w:t xml:space="preserve">Cada decisão vem marcada com o tipo de diferença em relação ao Manual: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Escolha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 Manual admite mais de uma forma; a COPPE fixa uma.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Dado próprio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 Manual pede a informação; o valor é da COPPE.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Acréscimo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Elemento que o Manual não prevê e a COPPE exige, onde o Manual não obriga e sem contrariar exemplo dele.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Reafirmação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Nada se acrescenta; repete-se um ponto do Manual por ser fonte frequente de erro.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COMO LER AS DECISÕES</w:t>
            </w:r>
          </w:p>
          <w:p>
            <w:pPr>
              <w:spacing w:after="80" w:line="276"/>
            </w:pPr>
            <w:r>
              <w:t xml:space="preserve">Cada decisão traz: </w:t>
            </w:r>
            <w:r>
              <w:rPr>
                <w:b/>
                <w:bCs/>
              </w:rPr>
              <w:t xml:space="preserve">a regra da UFRJ</w:t>
            </w:r>
            <w:r>
              <w:t xml:space="preserve"> (citação literal, com o item); </w:t>
            </w:r>
            <w:r>
              <w:rPr>
                <w:b/>
                <w:bCs/>
              </w:rPr>
              <w:t xml:space="preserve">o que fica para a COPPE</w:t>
            </w:r>
            <w:r>
              <w:t xml:space="preserve">; </w:t>
            </w:r>
            <w:r>
              <w:rPr>
                <w:b/>
                <w:bCs/>
              </w:rPr>
              <w:t xml:space="preserve">as alternativas</w:t>
            </w:r>
            <w:r>
              <w:t xml:space="preserve">, quando há mais de uma razoável; </w:t>
            </w:r>
            <w:r>
              <w:rPr>
                <w:b/>
                <w:bCs/>
              </w:rPr>
              <w:t xml:space="preserve">a proposta</w:t>
            </w:r>
            <w:r>
              <w:t xml:space="preserve">; </w:t>
            </w:r>
            <w:r>
              <w:rPr>
                <w:b/>
                <w:bCs/>
              </w:rPr>
              <w:t xml:space="preserve">a justificativa</w:t>
            </w:r>
            <w:r>
              <w:t xml:space="preserve">; e </w:t>
            </w:r>
            <w:r>
              <w:rPr>
                <w:b/>
                <w:bCs/>
              </w:rPr>
              <w:t xml:space="preserve">o efeito para quem escreve</w:t>
            </w:r>
            <w:r>
              <w:t xml:space="preserve">.</w:t>
            </w:r>
          </w:p>
          <w:p>
            <w:pPr>
              <w:spacing w:after="80" w:line="276"/>
            </w:pPr>
            <w:r>
              <w:t xml:space="preserve">As decisões marcadas </w:t>
            </w:r>
            <w:r>
              <w:rPr>
                <w:b/>
                <w:bCs/>
              </w:rPr>
              <w:t xml:space="preserve">EM ABERTO</w:t>
            </w:r>
            <w:r>
              <w:t xml:space="preserve"> são aquelas em que a CPGP precisa de fato escolher — porque a Norma ainda não decide, porque o Manual se contradiz, ou porque há mais de uma alternativa defensável. As demais já estão decididas na Norma e seguem a regra de método.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  Quadro das decisões</w:t>
      </w:r>
    </w:p>
    <w:p>
      <w:pPr>
        <w:spacing w:after="120" w:line="288"/>
      </w:pPr>
      <w:r>
        <w:t xml:space="preserve">As vinte e quatro decisões, em uma tabela. As marcadas </w:t>
      </w:r>
      <w:r>
        <w:rPr>
          <w:b/>
          <w:bCs/>
        </w:rPr>
        <w:t xml:space="preserve">EM ABERTO</w:t>
      </w:r>
      <w:r>
        <w:t xml:space="preserve"> pedem voto específico da CPGP.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50"/>
        <w:gridCol w:w="1850"/>
        <w:gridCol w:w="2922"/>
        <w:gridCol w:w="12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da UFRJ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Proposta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90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A. Identidade institucional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Logotipos na capa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Anexo A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UFRJ à esquerda, COPPE à direita, só na capa, 2 cm.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Nome da instituição na capa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3.1.1; Anexo A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Três linhas por extenso; sem sigla.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Lista dos Programas de Pós-graduação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3.1.1; 3.1.2.1.1(e)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 Programas; nome em inglês só no abstract.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Dado próprio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Identidade institucional sempre em português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omisso; art. 57 da Res. CEPG 302/2024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Sempre em português; só título e subtítulo no idioma do trabalho.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D5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Posição do orientador na folha de rosto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3.1.2.1.1(f); Anexo B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Margem esquerda, abaixo da natureza.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D6</w:t>
            </w:r>
          </w:p>
          <w:p>
            <w:r>
              <w:rPr>
                <w:b/>
                <w:bCs/>
                <w:color w:val="B45309"/>
                <w:sz w:val="13"/>
                <w:szCs w:val="13"/>
              </w:rPr>
              <w:t xml:space="preserve">EM ABERTO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Área de concentração nas folhas de identidade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3.1.2.1.1(e); 3.1.2.1.3(c); Anexos B, D e H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Só na folha adicional (segue os Anexos B e D e o modelo do SiBI).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B. Idioma e resumos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D7</w:t>
            </w:r>
          </w:p>
          <w:p>
            <w:r>
              <w:rPr>
                <w:b/>
                <w:bCs/>
                <w:color w:val="B45309"/>
                <w:sz w:val="13"/>
                <w:szCs w:val="13"/>
              </w:rPr>
              <w:t xml:space="preserve">EM ABERTO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Idiomas de redação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Res. CEPG 302/2024, art. 57; Manual 2.1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Pt, en, es; outro idioma só pelo regulamento do Programa; Apêndices e Anexos livres.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D8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Língua estrangeira do resumo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3.1.2.1.5; Anexo F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Inglês.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 terceiro resumo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3.1.2; 3.1.2.1.4; 3.1.2.1.5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Pt, en e, se for o caso, o idioma do trabalho, nessa ordem.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Acréscimo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D10</w:t>
            </w:r>
          </w:p>
          <w:p>
            <w:r>
              <w:rPr>
                <w:b/>
                <w:bCs/>
                <w:color w:val="B45309"/>
                <w:sz w:val="13"/>
                <w:szCs w:val="13"/>
              </w:rPr>
              <w:t xml:space="preserve">EM ABERTO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Referência bibliográfica no alto do resumo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3.1.2.1.4; Anexos E e F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Regra, sempre em português; fechar a contradição com a opção de retirá-la.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D11</w:t>
            </w:r>
          </w:p>
          <w:p>
            <w:r>
              <w:rPr>
                <w:b/>
                <w:bCs/>
                <w:color w:val="B45309"/>
                <w:sz w:val="13"/>
                <w:szCs w:val="13"/>
              </w:rPr>
              <w:t xml:space="preserve">EM ABERTO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Conteúdo da folha de resumo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3.1.2.1.4; Anexos E e F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Só o que está nos Anexos E e F; sem exceção por Programa.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Reafirmação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Extensão do resumo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3.1.2.1.4; NBR 6028:2021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Vale o Manual (150 a 500 palavras).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C. Apresentação gráfica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D13</w:t>
            </w:r>
          </w:p>
          <w:p>
            <w:r>
              <w:rPr>
                <w:b/>
                <w:bCs/>
                <w:color w:val="B45309"/>
                <w:sz w:val="13"/>
                <w:szCs w:val="13"/>
              </w:rPr>
              <w:t xml:space="preserve">EM ABERTO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Diagramação em folhas, e não em páginas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2.6; 2.7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 folhas (Norma, 2.1).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D14</w:t>
            </w:r>
          </w:p>
          <w:p>
            <w:r>
              <w:rPr>
                <w:b/>
                <w:bCs/>
                <w:color w:val="B45309"/>
                <w:sz w:val="13"/>
                <w:szCs w:val="13"/>
              </w:rPr>
              <w:t xml:space="preserve">EM ABERTO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Família tipográfica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2.2(b)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Livre (Norma, 2.2).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D15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Destaque dos títulos de seção e forma do Sumário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2.6; 3.1.2.1.6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Destaque do sumário do Manual; alinhamento recomendado vira regra.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D16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Listas de Quadros, de Programas e de Algoritmos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3.1.2.2.4; 2.10; 2.11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Listas de Quadros, Programas e Algoritmos.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Acréscimo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Identificação e fonte das ilustrações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2.10; 2.11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Identificação acima, fonte abaixo, à esquerda.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D18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Apêndices e Anexos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3.1.4.3; 3.1.4.4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“APÊNDICE A — Título”, igual no Sumário.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D19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Numeração das folhas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2.7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Repete o 2.7; Introdução não é a folha 1.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Reafirmação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D20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Citações e referências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4.1.1.1; 3.1.4.1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Sistema a critério do autor; ABNT nas edições citadas pelo Manual.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D. Entrega, vigência e governança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D21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PDF/A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2.2(d); Anexo I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Obrigatório pelo Manual; não é escolha.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Reafirmação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D22</w:t>
            </w:r>
          </w:p>
          <w:p>
            <w:r>
              <w:rPr>
                <w:b/>
                <w:bCs/>
                <w:color w:val="B45309"/>
                <w:sz w:val="13"/>
                <w:szCs w:val="13"/>
              </w:rPr>
              <w:t xml:space="preserve">EM ABERTO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Quem preenche a folha adicional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3.1.2.1.2; Anexo H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Discente preenche, secretaria confere.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Dado próprio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D23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Implementação de referência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omisso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Classe ufrj + ufrj-coppe 5.x, sem obrigatoriedade.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D24</w:t>
            </w:r>
          </w:p>
          <w:p>
            <w:r>
              <w:rPr>
                <w:b/>
                <w:bCs/>
                <w:color w:val="B45309"/>
                <w:sz w:val="13"/>
                <w:szCs w:val="13"/>
              </w:rPr>
              <w:t xml:space="preserve">EM ABERTO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Vigência e transição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omisso</w:t>
            </w:r>
          </w:p>
        </w:tc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futura (90 dias); o que vem da UFRJ já vale.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" w:line="2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Escolha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 As decisões, uma a uma</w:t>
      </w:r>
    </w:p>
    <w:p>
      <w:pPr>
        <w:pStyle w:val="Heading2"/>
      </w:pPr>
      <w:r>
        <w:t xml:space="preserve">A  Identidade institucional</w:t>
      </w:r>
    </w:p>
    <w:p>
      <w:pPr>
        <w:pStyle w:val="Heading3"/>
        <w:keepNext/>
      </w:pPr>
      <w:r>
        <w:t xml:space="preserve">D1  Logotipos na capa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Anexo A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“Logo da UFRJ (Opcional) · Logo do Programa (Opcional)”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Anexo A — Sugestão de capa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sugere dois logotipos no alto da capa e marca </w:t>
      </w:r>
      <w:r>
        <w:rPr>
          <w:b/>
          <w:bCs/>
        </w:rPr>
        <w:t xml:space="preserve">os dois como opcionais</w:t>
      </w:r>
      <w:r>
        <w:t xml:space="preserve">. Cabe à COPPE dizer se os usa, quais e onde.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Nenhum logotipo (o Manual permite).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Logotipo da UFRJ e o de cada Programa, como no Anexo A.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Logotipo da UFRJ à esquerda e o da </w:t>
      </w:r>
      <w:r>
        <w:rPr>
          <w:b/>
          <w:bCs/>
        </w:rPr>
        <w:t xml:space="preserve">COPPE</w:t>
      </w:r>
      <w:r>
        <w:t xml:space="preserve"> à direita, no lugar do logotipo do Programa.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(c). Os dois logotipos figuram </w:t>
            </w:r>
            <w:r>
              <w:rPr>
                <w:b/>
                <w:bCs/>
              </w:rPr>
              <w:t xml:space="preserve">só na capa</w:t>
            </w:r>
            <w:r>
              <w:t xml:space="preserve">, na mesma linha, com 2 cm de altura; nenhum outro é admitido — nem de Programa, nem de laboratório, nem de agência de fomento.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Nem todo Programa tem logotipo próprio, e a COPPE tem um logotipo unificado, comum a todos. Usá-lo dá a mesma capa a todos os Programas.</w:t>
      </w:r>
    </w:p>
    <w:p>
      <w:pPr>
        <w:spacing w:after="120" w:line="288"/>
      </w:pPr>
      <w:r>
        <w:t xml:space="preserve">A folha de rosto fica sem imagem porque o Anexo B do Manual e o modelo de folha de rosto do SiBI não trazem nenhuma. O vínculo com a agência de fomento é declarado na folha adicional da Coleta CAPES, e não com logotipo.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Quem traz logotipo na folha de rosto, ou o logotipo do laboratório na capa, precisa retirá-lo.</w:t>
      </w:r>
    </w:p>
    <w:p>
      <w:pPr>
        <w:pStyle w:val="Heading3"/>
        <w:keepNext/>
      </w:pPr>
      <w:r>
        <w:t xml:space="preserve">D2  Nome da instituição na capa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3.1.1; Anexo A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“Devem constar as seguintes informações, dispostas na ordem apresentada: nome da instituição; nome completo do autor; título;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3.1.1 — Capa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pede o “nome da instituição” sem dizer em quantos níveis. O Anexo A mostra três (Universidade, unidade, Programa), com o nome da unidade por extenso.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Só “Universidade Federal do Rio de Janeiro”.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Universidade e “COPPE/UFRJ” (sigla).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Três linhas, por extenso: Universidade; Instituto Alberto Luiz Coimbra de Pós-Graduação e Pesquisa de Engenharia; Programa.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(c), </w:t>
            </w:r>
            <w:r>
              <w:rPr>
                <w:b/>
                <w:bCs/>
              </w:rPr>
              <w:t xml:space="preserve">sem sigla</w:t>
            </w:r>
            <w:r>
              <w:t xml:space="preserve"> na segunda linha. A frase da natureza, na folha de rosto, também traz o nome do Instituto por extenso.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É o que o Anexo A mostra (“ESCOLA DE BELAS ARTES”, por extenso). A sigla COPPE não se perde: está no logotipo, no alto da mesma folha.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 para o autor que usa a implementação de referência: as três linhas saem do código do Programa.</w:t>
      </w:r>
    </w:p>
    <w:p>
      <w:pPr>
        <w:pStyle w:val="Heading3"/>
        <w:keepNext/>
      </w:pPr>
      <w:r>
        <w:t xml:space="preserve">D3  Lista dos Programas de Pós-graduação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Dado próprio</w:t>
      </w:r>
      <w:r>
        <w:rPr>
          <w:color w:val="595959"/>
          <w:sz w:val="17"/>
          <w:szCs w:val="17"/>
        </w:rPr>
        <w:t xml:space="preserve">   ·   3.1.1; 3.1.2.1.1(e)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“natureza do trabalho […] e objetivo (grau pretendido […]), nome da instituição a que é submetido o trabalho e a área de concentração”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3.1.2.1.1(e)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pede o nome do Programa; a lista e a forma do nome são da COPPE.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Os treze Programas, na forma “Programa de Engenharia de…” (PEB, PEC, PEE, PEM, PEMM, PEN, PENO, PENT, PEP, PEQ, PESC, PET, PPE), com o nome em inglês usado </w:t>
            </w:r>
            <w:r>
              <w:rPr>
                <w:b/>
                <w:bCs/>
              </w:rPr>
              <w:t xml:space="preserve">apenas</w:t>
            </w:r>
            <w:r>
              <w:t xml:space="preserve"> na página do </w:t>
            </w:r>
            <w:r>
              <w:rPr>
                <w:i/>
                <w:iCs/>
              </w:rPr>
              <w:t xml:space="preserve">abstract</w:t>
            </w:r>
            <w:r>
              <w:t xml:space="preserve">. A lista completa está na Seção 5 da Norma.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O nome em inglês só aparece onde o Manual já prevê texto em língua estrangeira; em toda a identidade institucional o nome fica em português (D4).</w:t>
      </w:r>
    </w:p>
    <w:p>
      <w:pPr>
        <w:spacing w:after="120" w:line="288"/>
      </w:pPr>
      <w:r>
        <w:t xml:space="preserve">Criar, extinguir ou renomear Programa é ato administrativo, não decisão gráfica. Por isso a minuta (art. 7.º) permite atualizar a lista por comunicação da Direção, sem nova deliberação.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Nenhum.</w:t>
      </w:r>
    </w:p>
    <w:p>
      <w:pPr>
        <w:pStyle w:val="Heading3"/>
        <w:keepNext/>
      </w:pPr>
      <w:r>
        <w:t xml:space="preserve">D4  Identidade institucional sempre em português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Manual omisso; art. 57 da Res. CEPG 302/2024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 dissertação ou a tese poderá ser redigida em português, ou em inglês, ou em espanhol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Res. CEPG n. 302/2024, art. 57, caput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A UFRJ admite trabalhos em três idiomas, mas o Manual só mostra exemplos em português e não diz o que acontece com a capa, a folha de rosto e a folha de aprovação de um trabalho em inglês ou espanhol.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Tudo no idioma do trabalho, inclusive o nome da Universidade e do Programa.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Identidade institucional sempre em português; só o título e o subtítulo acompanham o idioma do trabalho.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(b). Nome da Universidade, do Instituto e do Programa, cidade, estado e país, natureza e objetivo — tudo em português, em capa, folha de rosto e folha de aprovação, qualquer que seja o idioma do trabalho.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Essas folhas identificam o documento para a Universidade, para a biblioteca e para a CAPES, e são lidas por quem cataloga, não por quem lê a tese. Traduzir o nome da instituição cria formas que não existem oficialmente.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Um trabalho em inglês tem a capa em português, com o título em inglês.</w:t>
      </w:r>
    </w:p>
    <w:p>
      <w:pPr>
        <w:pStyle w:val="Heading3"/>
        <w:keepNext/>
      </w:pPr>
      <w:r>
        <w:t xml:space="preserve">D5  Posição do orientador na folha de rosto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3.1.2.1.1(f); Anexo B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“orientador e, se houver, coorientador; local da instituição que o trabalho vai ser apresentado”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3.1.2.1.1(f)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exige o nome, mas não fixa a posição.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Dentro do bloco da natureza, recuado do meio da mancha à margem direita.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Alinhado à margem esquerda, abaixo do bloco da natureza.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(b): orientador e coorientador alinhados à margem esquerda, o orientador primeiro.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É a posição do “Orientador:” no Anexo B do Manual.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 para o autor.</w:t>
      </w:r>
    </w:p>
    <w:p>
      <w:pPr>
        <w:pStyle w:val="Heading3"/>
        <w:keepNext/>
      </w:pPr>
      <w:r>
        <w:t xml:space="preserve">D6  Área de concentração nas folhas de identidade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3.1.2.1.1(e); 3.1.2.1.3(c); Anexos B, D e H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“natureza do trabalho […], nome da instituição a que é submetido o trabalho e a área de concentração”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3.1.2.1.1(e) — Folha de rosto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 natureza, o objetivo, o nome da instituição a que é submetido e a área de concentração”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3.1.2.1.3(c) — Folha de aprovação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Aqui </w:t>
      </w:r>
      <w:r>
        <w:rPr>
          <w:b/>
          <w:bCs/>
        </w:rPr>
        <w:t xml:space="preserve">o Manual se contradiz</w:t>
      </w:r>
      <w:r>
        <w:t xml:space="preserve">. O texto põe a área de concentração na folha de rosto e na folha de aprovação; os exemplos (Anexos B e D) e o modelo que o SiBI distribui encerram o bloco da natureza no grau pretendido e </w:t>
      </w:r>
      <w:r>
        <w:rPr>
          <w:b/>
          <w:bCs/>
        </w:rPr>
        <w:t xml:space="preserve">não a mostram</w:t>
      </w:r>
      <w:r>
        <w:t xml:space="preserve">. A área de concentração aparece, isso sim, como campo obrigatório da folha adicional da Coleta CAPES (Anexo H). A COPPE precisa dizer qual das duas leituras segue.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Seguir o texto: área de concentração na folha de rosto, na folha de aprovação </w:t>
      </w:r>
      <w:r>
        <w:rPr>
          <w:b/>
          <w:bCs/>
        </w:rPr>
        <w:t xml:space="preserve">e</w:t>
      </w:r>
      <w:r>
        <w:t xml:space="preserve"> na folha adicional.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Seguir os exemplos e o modelo do SiBI: área de concentração </w:t>
      </w:r>
      <w:r>
        <w:rPr>
          <w:b/>
          <w:bCs/>
        </w:rPr>
        <w:t xml:space="preserve">só na folha adicional</w:t>
      </w:r>
      <w:r>
        <w:t xml:space="preserve">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(b), que é a da Norma: o modelo do SiBI vale como errata sobre os exemplos do Manual, e a informação não se perde, porque a folha adicional a exige.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A Norma adota como método, onde o Manual é ambíguo, ficar com o que os exemplos e o modelo mostram. Seguir o texto aqui seria abrir uma exceção a esse método.</w:t>
      </w:r>
    </w:p>
    <w:p>
      <w:pPr>
        <w:spacing w:after="120" w:line="288"/>
      </w:pPr>
      <w:r>
        <w:t xml:space="preserve">A decisão é reversível sem custo: a implementação de referência tem uma opção (</w:t>
      </w:r>
      <w:r>
        <w:rPr>
          <w:rFonts w:ascii="Consolas" w:cs="Consolas" w:eastAsia="Consolas" w:hAnsi="Consolas"/>
          <w:sz w:val="20"/>
          <w:szCs w:val="20"/>
        </w:rPr>
        <w:t xml:space="preserve">areanafolhaderosto</w:t>
      </w:r>
      <w:r>
        <w:t xml:space="preserve">) que devolve a área de concentração às duas folhas. Se a CPGP preferir (a), basta torná-la padrão.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Nenhum: o dado é informado de qualquer jeito, porque a folha adicional o exige.</w:t>
      </w:r>
    </w:p>
    <w:p>
      <w:pPr>
        <w:pStyle w:val="Heading2"/>
        <w:pageBreakBefore/>
      </w:pPr>
      <w:r>
        <w:t xml:space="preserve">B  Idioma e resumos</w:t>
      </w:r>
    </w:p>
    <w:p>
      <w:pPr>
        <w:pStyle w:val="Heading3"/>
        <w:keepNext/>
      </w:pPr>
      <w:r>
        <w:t xml:space="preserve">D7  Idiomas de redação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Res. CEPG 302/2024, art. 57; Manual 2.1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 dissertação ou a tese poderá ser redigida em português, ou em inglês, ou em espanhol, podendo a parte pós-textual ser redigida em outras línguas.”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Res. CEPG n. 302/2024, art. 57, caput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“O Regulamento ou resolução específica do PPG deverá estabelecer demais línguas para a redação da dissertação ou tese.”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Res. CEPG n. 302/2024, art. 57, § 1.º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 redação da dissertação ou tese em outra língua, que não as previstas no Regulamento […] deverá ser acompanhada de versão traduzida em português.”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Res. CEPG n. 302/2024, art. 57, § 2.º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A Resolução fixa três idiomas, mas </w:t>
      </w:r>
      <w:r>
        <w:rPr>
          <w:b/>
          <w:bCs/>
        </w:rPr>
        <w:t xml:space="preserve">devolve ao regulamento de cada Programa</w:t>
      </w:r>
      <w:r>
        <w:t xml:space="preserve"> a decisão sobre outros (§ 1.º) e admite a parte pós-textual em qualquer língua. A versão anterior da Norma dizia que “não há na UFRJ respaldo normativo para outros” — o que não é exato: o respaldo existe, e a decisão é do regulamento do Programa.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Só português, inglês e espanhol em toda a COPPE, e a Norma não trata de outros idiomas.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Português, inglês e espanhol como regra; outro idioma só quando o regulamento do Programa o admitir, com a versão traduzida em português exigida pelo § 2.º.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Restringir, por exemplo, a português e inglês.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(b). A Norma diz quais são os três idiomas da Resolução e acrescenta que outro idioma depende do regulamento do Programa, nos termos do § 1.º; e diz expressamente que Apêndices e Anexos podem estar em outra língua. É a redação dos itens 6.1 e 6.2 da Norma.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A Norma Gráfica não pode retirar dos Programas uma competência que a Resolução CEPG lhes dá. Pode, no máximo, fixar a forma gráfica do caso.</w:t>
      </w:r>
    </w:p>
    <w:p>
      <w:pPr>
        <w:spacing w:after="120" w:line="288"/>
      </w:pPr>
      <w:r>
        <w:t xml:space="preserve">A alternativa (c) contraria o caput do art. 57, que garante o espanhol a qualquer discente.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 hoje: nenhum Programa admite, que se saiba, um quarto idioma. A regra fica pronta para quando algum admitir.</w:t>
      </w:r>
    </w:p>
    <w:p>
      <w:pPr>
        <w:pStyle w:val="Heading3"/>
        <w:keepNext/>
      </w:pPr>
      <w:r>
        <w:t xml:space="preserve">D8  Língua estrangeira do resumo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3.1.2.1.5; Anexo F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“Deve apresentar a versão do resumo em língua vernácula no idioma de divulgação internacional (ANEXO F).”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3.1.2.1.5 — Resumo em língua estrangeira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exige um resumo “no idioma de divulgação internacional”, sem nomear o idioma.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O </w:t>
            </w:r>
            <w:r>
              <w:rPr>
                <w:b/>
                <w:bCs/>
              </w:rPr>
              <w:t xml:space="preserve">inglês</w:t>
            </w:r>
            <w:r>
              <w:t xml:space="preserve">, em qualquer caso. O resumo em português vem sempre primeiro, e o </w:t>
            </w:r>
            <w:r>
              <w:rPr>
                <w:i/>
                <w:iCs/>
              </w:rPr>
              <w:t xml:space="preserve">abstract</w:t>
            </w:r>
            <w:r>
              <w:t xml:space="preserve"> em seguida.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É o idioma do Anexo F e o de divulgação internacional nas engenharias. Num trabalho escrito em inglês, o </w:t>
      </w:r>
      <w:r>
        <w:rPr>
          <w:i/>
          <w:iCs/>
        </w:rPr>
        <w:t xml:space="preserve">abstract</w:t>
      </w:r>
      <w:r>
        <w:t xml:space="preserve"> é o resumo no idioma do trabalho.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Nenhum: é o que a COPPE já pratica.</w:t>
      </w:r>
    </w:p>
    <w:p>
      <w:pPr>
        <w:pStyle w:val="Heading3"/>
        <w:keepNext/>
      </w:pPr>
      <w:r>
        <w:t xml:space="preserve">D9  O terceiro resumo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Acréscimo</w:t>
      </w:r>
      <w:r>
        <w:rPr>
          <w:color w:val="595959"/>
          <w:sz w:val="17"/>
          <w:szCs w:val="17"/>
        </w:rPr>
        <w:t xml:space="preserve">   ·   3.1.2; 3.1.2.1.4; 3.1.2.1.5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“[…] resumo em língua vernácula, resumo em língua estrangeira, lista de ilustrações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 — Elementos pré-textuais (ordem)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prevê dois resumos (português e língua estrangeira). Num trabalho em espanhol, idioma garantido pelo art. 57, os dois resumos do Manual são o português e o inglês — e </w:t>
      </w:r>
      <w:r>
        <w:rPr>
          <w:b/>
          <w:bCs/>
        </w:rPr>
        <w:t xml:space="preserve">não haveria resumo na língua em que o trabalho foi escrito</w:t>
      </w:r>
      <w:r>
        <w:t xml:space="preserve">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Dois resumos sempre (português e inglês), e o trabalho em espanhol fica sem resumo em espanhol.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Trocar o inglês pelo idioma do trabalho quando ele não for português nem inglês.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Manter os dois do Manual e acrescentar um terceiro, no idioma do trabalho, depois deles.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(c): </w:t>
            </w:r>
            <w:r>
              <w:rPr>
                <w:b/>
                <w:bCs/>
              </w:rPr>
              <w:t xml:space="preserve">(1)</w:t>
            </w:r>
            <w:r>
              <w:t xml:space="preserve"> português, sempre primeiro; </w:t>
            </w:r>
            <w:r>
              <w:rPr>
                <w:b/>
                <w:bCs/>
              </w:rPr>
              <w:t xml:space="preserve">(2)</w:t>
            </w:r>
            <w:r>
              <w:t xml:space="preserve"> inglês, sempre; </w:t>
            </w:r>
            <w:r>
              <w:rPr>
                <w:b/>
                <w:bCs/>
              </w:rPr>
              <w:t xml:space="preserve">(3)</w:t>
            </w:r>
            <w:r>
              <w:t xml:space="preserve"> idioma do trabalho, só quando não é nem português nem inglês. Cada resumo em página própria, inteira no seu idioma (título, texto e palavras-chave), salvo a referência no alto (D10).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(b) contrariaria o 3.1.2.1.5, que pede o idioma de divulgação internacional. (c) cumpre o Manual integralmente e só acrescenta, depois dele, o que ele não previu.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Só os trabalhos em espanhol (ou em outro idioma admitido pelo Programa) têm uma página a mais.</w:t>
      </w:r>
    </w:p>
    <w:p>
      <w:pPr>
        <w:pStyle w:val="Heading3"/>
        <w:keepNext/>
      </w:pPr>
      <w:r>
        <w:t xml:space="preserve">D10  Referência bibliográfica no alto do resumo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3.1.2.1.4; Anexos E e F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“Sugere-se que o resumo venha antecedido por uma referência conforme apresentado no ANEXO E.”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3.1.2.1.4 — Resumo em língua vernácula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</w:t>
      </w:r>
      <w:r>
        <w:rPr>
          <w:b/>
          <w:bCs/>
        </w:rPr>
        <w:t xml:space="preserve">sugere</w:t>
      </w:r>
      <w:r>
        <w:t xml:space="preserve"> a referência; não obriga. A COPPE pode deixar ao autor, tornar regra, ou dispensar.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Deixar como sugestão (o autor decide).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Tornar regra: toda página de resumo abre com a referência do próprio trabalho, igual em todas e sempre em português.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Dispensar.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(b), que é a da Norma (item 7.4). A referência é composta conforme o Anexo E e a NBR 6023 e não se traduz — é o que o Anexo F faz ao repeti-la sobre o </w:t>
            </w:r>
            <w:r>
              <w:rPr>
                <w:i/>
                <w:iCs/>
              </w:rPr>
              <w:t xml:space="preserve">abstract</w:t>
            </w:r>
            <w:r>
              <w:t xml:space="preserve">. Exame de qualificação e seminário de mestrado não a recebem, porque não são depositados nem são documentos referenciáveis.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Os dois exemplos do Manual a trazem, e a implementação de referência a compõe sozinha com os dados da folha de rosto: não custa nada ao autor.</w:t>
      </w:r>
    </w:p>
    <w:p>
      <w:pPr>
        <w:spacing w:after="120" w:line="288"/>
      </w:pPr>
      <w:r>
        <w:rPr>
          <w:b/>
          <w:bCs/>
        </w:rPr>
        <w:t xml:space="preserve">Ponto que a CPGP precisa fechar:</w:t>
      </w:r>
      <w:r>
        <w:t xml:space="preserve"> a implementação de referência tem uma opção para retirar a referência, pensada para o resumo perto do limite de 500 palavras. Com a referência como regra, essa opção só pode servir a documentos que não são depositados. Se a CPGP preferir manter a opção para todos, a referência passa a ser recomendação, e o item 7.4 da Norma muda.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 para o autor que usa a implementação de referência.</w:t>
      </w:r>
    </w:p>
    <w:p>
      <w:pPr>
        <w:pStyle w:val="Heading3"/>
        <w:keepNext/>
      </w:pPr>
      <w:r>
        <w:t xml:space="preserve">D11  Conteúdo da folha de resumo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Reafirmação</w:t>
      </w:r>
      <w:r>
        <w:rPr>
          <w:color w:val="595959"/>
          <w:sz w:val="17"/>
          <w:szCs w:val="17"/>
        </w:rPr>
        <w:t xml:space="preserve">   ·   3.1.2.1.4; Anexos E e F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“Deve-se acrescentar ao final do resumo as palavras-chave, precedidas do termo palavras-chave, seguida de dois pontos, separadas entre si por ponto e vírgula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3.1.2.1.4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A norma antiga da COPPE punha na folha de resumo uma frase de abertura (“Resumo da Tese apresentada à COPPE/UFRJ…”), o título com autor e mês, os orientadores e o Programa. Nada disso está nos Anexos E e F, e a referência do alto já traz autor, título, natureza e instituição.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Manter os elementos antigos da COPPE.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Seguir só os Anexos E e F: título da folha, referência, texto, palavras-chave.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Seguir os Anexos E e F como regra, mas permitir que um Programa exija os elementos antigos.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(b), que é a do item 7.2 da Norma (“contém apenas”). A versão anterior da Norma admitia também a (c), ao dizer que a implementação oferece os elementos antigos “para o Programa que os exija”; a CPGP deve confirmar que fecha essa porta.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(a) repete informação que a referência já dá. (c) desfaz a uniformidade entre Programas, que é um dos objetivos da Norma; a recomendação é fechar a porta e manter a opção da implementação só para transição.</w:t>
      </w:r>
    </w:p>
    <w:p>
      <w:pPr>
        <w:spacing w:after="120" w:line="288"/>
      </w:pPr>
      <w:r>
        <w:t xml:space="preserve">Com isso perde objeto a questão, levantada na versão anterior desta proposta, de pôr ou não o coorientador nas páginas de resumo: não há mais orientadores nelas.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As páginas de resumo ficam mais curtas e iguais em todos os Programas.</w:t>
      </w:r>
    </w:p>
    <w:p>
      <w:pPr>
        <w:pStyle w:val="Heading3"/>
        <w:keepNext/>
      </w:pPr>
      <w:r>
        <w:t xml:space="preserve">D12  Extensão do resumo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 (não exercida)</w:t>
      </w:r>
      <w:r>
        <w:rPr>
          <w:color w:val="595959"/>
          <w:sz w:val="17"/>
          <w:szCs w:val="17"/>
        </w:rPr>
        <w:t xml:space="preserve">   ·   3.1.2.1.4; NBR 6028:2021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“[…] com, no máximo, 500 palavras e no mínimo 150 palavras. (ABNT, 2021)”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3.1.2.1.4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fixa a faixa de 150 a 500 palavras. A COPPE pode restringi-la (a Escola Politécnica, por exemplo, pede até 250), mas não ampliá-la.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Valer a faixa do Manual.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Fixar um limite menor.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(a): a Norma não trata do assunto e vale o Manual.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Um limite menor que 500 não tem justificativa gráfica, e o Manual já evita resumos longos demais.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Nenhum.</w:t>
      </w:r>
    </w:p>
    <w:p>
      <w:pPr>
        <w:pStyle w:val="Heading2"/>
        <w:pageBreakBefore/>
      </w:pPr>
      <w:r>
        <w:t xml:space="preserve">C  Apresentação gráfica</w:t>
      </w:r>
    </w:p>
    <w:p>
      <w:pPr>
        <w:pStyle w:val="Heading3"/>
        <w:keepNext/>
      </w:pPr>
      <w:r>
        <w:t xml:space="preserve">D13  Diagramação em folhas, e não em páginas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2.6; 2.7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“Quando utilizadas páginas ao invés de folhas, os títulos das seções primárias devem começar em página ímpar.”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2.6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“Quando o trabalho for diagramado em páginas, a numeração das páginas (como um livro aberto) deve ser colocada sempre no canto superior externo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2.7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admite as duas diagramações: </w:t>
      </w:r>
      <w:r>
        <w:rPr>
          <w:b/>
          <w:bCs/>
        </w:rPr>
        <w:t xml:space="preserve">em folhas</w:t>
      </w:r>
      <w:r>
        <w:t xml:space="preserve"> (só frente, número sempre no canto superior direito) ou </w:t>
      </w:r>
      <w:r>
        <w:rPr>
          <w:b/>
          <w:bCs/>
        </w:rPr>
        <w:t xml:space="preserve">em páginas</w:t>
      </w:r>
      <w:r>
        <w:t xml:space="preserve"> (frente e verso, número no canto externo, capítulos em página ímpar). A versão anterior da Norma pressupunha folhas, sem dizê-lo; a Norma atual o diz no item 2.1.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Folhas, obrigatoriamente.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Páginas, obrigatoriamente.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A critério do autor.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(a), como está no item 2.1 da Norma.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A entrega é exclusivamente digital desde a Res. CEPG n. 246/2023, e o Manual de 2026 eliminou as margens de verso. Diagramar em páginas só produz versos em branco num PDF que ninguém imprime.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 para quem usa a implementação de referência, que já compõe em folhas.</w:t>
      </w:r>
    </w:p>
    <w:p>
      <w:pPr>
        <w:pStyle w:val="Heading3"/>
        <w:keepNext/>
      </w:pPr>
      <w:r>
        <w:t xml:space="preserve">D14  Família tipográfica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2.2(b)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“digitadas na cor preta, exceção para ilustrações, utilizando fonte tamanho 12 e fonte menor e uniforme para as citações de mais de 3 linhas, notas de rodapé, paginação e legendas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2.2(b)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fixa cor e corpo, e </w:t>
      </w:r>
      <w:r>
        <w:rPr>
          <w:b/>
          <w:bCs/>
        </w:rPr>
        <w:t xml:space="preserve">cala sobre a família</w:t>
      </w:r>
      <w:r>
        <w:t xml:space="preserve"> — o próprio Manual está composto em Arial. A versão anterior da Norma também não dizia nada; a Norma atual o diz no item 2.2.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Escrever na Norma que a família é livre, respeitado o corpo 12 do Manual.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Fixar sem serifa (como o próprio Manual).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Fixar com serifa.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(a). A implementação de referência compõe sem serifa por padrão, seguindo o Manual, e a opção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comserifa</w:t>
            </w:r>
            <w:r>
              <w:t xml:space="preserve"> volta à serifada.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Não há motivo normativo para preferir uma família, e a entrega digital elimina o argumento de legibilidade em impressão. O que importa é que o silêncio vire regra escrita.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Nenhum.</w:t>
      </w:r>
    </w:p>
    <w:p>
      <w:pPr>
        <w:pStyle w:val="Heading3"/>
        <w:keepNext/>
      </w:pPr>
      <w:r>
        <w:t xml:space="preserve">D15  Destaque dos títulos de seção e forma do Sumário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2.6; 3.1.2.1.6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“Destaca-se gradativamente os títulos das seções, utilizando os recursos de negrito, itálico ou grifo e redondo, caixa-alta ou versal.”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2.6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“Os títulos e os subtítulos […] devem ser alinhados à esquerda. Recomenda-se que sejam alinhados pela margem do título do indicativo mais extenso.”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3.1.2.1.6 — Sumário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deixa a combinação de recursos de destaque a critério de quem compõe, e só </w:t>
      </w:r>
      <w:r>
        <w:rPr>
          <w:b/>
          <w:bCs/>
        </w:rPr>
        <w:t xml:space="preserve">recomenda</w:t>
      </w:r>
      <w:r>
        <w:t xml:space="preserve"> o alinhamento do Sumário.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Fixar o destaque de cada nível como o Manual faz no próprio sumário — primária: CAIXA ALTA negrito; secundária: CAIXA ALTA; terciária: negrito; quaternária: negrito itálico; quinária: itálico — e tornar regra a recomendação do Sumário: indicativos na margem esquerda, títulos numa mesma coluna dada pelo indicativo mais extenso, pontilhado em todos os níveis (Norma, Seção 10).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É o exemplo que o 3.1.2.1.6 manda seguir (“Utilize como exemplo o sumário deste trabalho”).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 para quem usa a implementação de referência.</w:t>
      </w:r>
    </w:p>
    <w:p>
      <w:pPr>
        <w:pStyle w:val="Heading3"/>
        <w:keepNext/>
      </w:pPr>
      <w:r>
        <w:t xml:space="preserve">D16  Listas de Quadros, de Programas e de Algoritmos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Acréscimo</w:t>
      </w:r>
      <w:r>
        <w:rPr>
          <w:color w:val="595959"/>
          <w:sz w:val="17"/>
          <w:szCs w:val="17"/>
        </w:rPr>
        <w:t xml:space="preserve">   ·   3.1.2.2.4; 2.10; 2.11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“Quando for necessário, deve ser elaborada uma lista para cada tipo de ilustração, ex.: desenhos, esquemas, fluxogramas, fotografias, gráficos, mapas, organogramas, planta, quadros, retratos, etc.”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3.1.2.2.4 — Lista de ilustrações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já admite uma lista por tipo de ilustração. As engenharias têm dois tipos que ele não nomeia: listagens de código e pseudocódigo.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Reconhecer três listas próprias — Quadros, Programas (código-fonte) e Algoritmos (pseudocódigo) —, cada uma presente quando houver ao menos uma ocorrência, junto das demais listas de ilustrações e antes da Lista de Tabelas.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Quadro, programa e algoritmo são ilustrações (2.10), e a ordem do 3.1.2 põe as listas de ilustrações antes da de tabelas.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Nenhum.</w:t>
      </w:r>
    </w:p>
    <w:p>
      <w:pPr>
        <w:pStyle w:val="Heading3"/>
        <w:keepNext/>
      </w:pPr>
      <w:r>
        <w:t xml:space="preserve">D17  Identificação e fonte das ilustrações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2.10; 2.11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“Após a ilustração, na parte inferior, indicar a fonte consultada (elemento obrigatório, mesmo que seja produção do próprio autor)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2.10 — Ilustrações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 tabela, quadro ou figura produzida pelo autor […] deve conter na fonte esta informação: “elaborada pelo próprio autor” ou “elaboração própria” ou “o próprio autor”, entre outros.”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2.11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já obriga identificação acima e fonte abaixo, sempre. Fica aberto o alinhamento, e qual das fórmulas usar para produção própria.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Identificação acima e fonte abaixo, em corpo menor e espaço simples, ambas alinhadas à esquerda e dentro das margens da ilustração, como na Figura 1 do Manual; fonte antecedida de “Fonte:” (ou equivalente no idioma do trabalho). A fórmula para produção própria fica a critério do autor, entre as do 2.11.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A obrigação vem do Manual; a COPPE só fixa o alinhamento, que o Manual mostra num único exemplo.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Toda figura e tabela precisa de fonte, mesmo as do próprio autor. É o ponto em que mais se erra.</w:t>
      </w:r>
    </w:p>
    <w:p>
      <w:pPr>
        <w:pStyle w:val="Heading3"/>
        <w:keepNext/>
      </w:pPr>
      <w:r>
        <w:t xml:space="preserve">D18  Apêndices e Anexos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3.1.4.3; 3.1.4.4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“Os apêndices são identificados por letras maiúsculas consecutivas, travessão e pelos respectivos títulos.”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3.1.4.3 — Apêndice (o 3.1.4.4 diz o mesmo do Anexo)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fixa a forma da identificação; o que fica é a grafia e a repetição no Sumário.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“</w:t>
            </w:r>
            <w:r>
              <w:rPr>
                <w:b/>
                <w:bCs/>
              </w:rPr>
              <w:t xml:space="preserve">APÊNDICE A — Título</w:t>
            </w:r>
            <w:r>
              <w:t xml:space="preserve">” e “</w:t>
            </w:r>
            <w:r>
              <w:rPr>
                <w:b/>
                <w:bCs/>
              </w:rPr>
              <w:t xml:space="preserve">ANEXO A — Título</w:t>
            </w:r>
            <w:r>
              <w:t xml:space="preserve">”, com a palavra em caixa alta, igual na abertura do capítulo e no Sumário, no idioma do trabalho.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O 3.1.4.4 manda que o destaque do anexo seja o da seção primária.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Nenhum.</w:t>
      </w:r>
    </w:p>
    <w:p>
      <w:pPr>
        <w:pStyle w:val="Heading3"/>
        <w:keepNext/>
      </w:pPr>
      <w:r>
        <w:t xml:space="preserve">D19  Numeração das folhas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Reafirmação</w:t>
      </w:r>
      <w:r>
        <w:rPr>
          <w:color w:val="595959"/>
          <w:sz w:val="17"/>
          <w:szCs w:val="17"/>
        </w:rPr>
        <w:t xml:space="preserve">   ·   2.7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“Todas as folhas ou páginas, a partir da folha de rosto, devem ser contadas sequencialmente, mas não numeradas. A folha adicional que contém a ficha catalográfica, não pode ser contada ou numerada. A numeração é colocada a partir da primeira folha da parte textual, em algarismos arábicos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2.7 — Paginação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Nada: o Manual decide tudo. A Norma repete o item porque é onde mais se erra.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Repetir o 2.7: a Introdução </w:t>
            </w:r>
            <w:r>
              <w:rPr>
                <w:b/>
                <w:bCs/>
              </w:rPr>
              <w:t xml:space="preserve">não</w:t>
            </w:r>
            <w:r>
              <w:t xml:space="preserve"> é a folha 1; não há algarismos romanos nas pré-textuais; número no canto superior direito, a 2 cm das bordas.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É a mudança que mais surpreende quem escreveu pela norma antiga.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Quem numerava as pré-textuais em romanos e recomeçava em 1 na Introdução deixa de fazê-lo.</w:t>
      </w:r>
    </w:p>
    <w:p>
      <w:pPr>
        <w:pStyle w:val="Heading3"/>
        <w:keepNext/>
      </w:pPr>
      <w:r>
        <w:t xml:space="preserve">D20  Citações e referências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4.1.1.1; 3.1.4.1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“As citações devem ser indicadas no texto por um sistema numérico ou autor-data. Qualquer que seja a opção esta deve ser utilizada em todo o trabalho […]”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4.1.1.1 — Sistema de chamada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admite os dois sistemas. Fica também aberta a edição das normas da ABNT a seguir.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Fixar um sistema para toda a COPPE.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Deixar a escolha ao autor, com uso consistente.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(b). E as normas da ABNT valem </w:t>
            </w:r>
            <w:r>
              <w:rPr>
                <w:b/>
                <w:bCs/>
              </w:rPr>
              <w:t xml:space="preserve">nas edições que o Manual cita</w:t>
            </w:r>
            <w:r>
              <w:t xml:space="preserve"> — NBR 6023:2025 (Referências) e NBR 10520:2023 (Citações) —, e não “nas edições vigentes”; onde divergirem do Manual, vale o Manual.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As áreas da COPPE têm tradições diferentes de citação. Congelar as edições evita que a ABNT mude a norma sem que o Manual e a implementação acompanhem.</w:t>
      </w:r>
    </w:p>
    <w:p>
      <w:pPr>
        <w:spacing w:after="120" w:line="288"/>
      </w:pPr>
      <w:r>
        <w:t xml:space="preserve">O sistema numérico não se usa em trabalho com notas de rodapé (4.1.1.1.1) — regra do Manual, não da COPPE.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Nenhum.</w:t>
      </w:r>
    </w:p>
    <w:p>
      <w:pPr>
        <w:pStyle w:val="Heading2"/>
        <w:pageBreakBefore/>
      </w:pPr>
      <w:r>
        <w:t xml:space="preserve">D  Entrega, vigência e governança</w:t>
      </w:r>
    </w:p>
    <w:p>
      <w:pPr>
        <w:pStyle w:val="Heading3"/>
        <w:keepNext/>
      </w:pPr>
      <w:r>
        <w:t xml:space="preserve">D21  PDF/A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Reafirmação</w:t>
      </w:r>
      <w:r>
        <w:rPr>
          <w:color w:val="595959"/>
          <w:sz w:val="17"/>
          <w:szCs w:val="17"/>
        </w:rPr>
        <w:t xml:space="preserve">   ·   2.2(d); Anexo I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 diagramação da versão digital final é de responsabilidade do autor do trabalho, e deve ser entregue em arquivo do tipo PDF/A, (formato de arquivamento de longo prazo).”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2.2(d)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rPr>
          <w:b/>
          <w:bCs/>
        </w:rPr>
        <w:t xml:space="preserve">Nada — e isso corrige a versão anterior desta proposta</w:t>
      </w:r>
      <w:r>
        <w:t xml:space="preserve">, que apresentava “PDF/A por padrão” como questão de mérito para a CPGP. O Manual de 2026 já obriga o PDF/A.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 minuta repete a obrigação (art. 5.º). A implementação de referência produz PDF/A-2b por padrão desde a versão 5.0.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Não é escolha da COPPE.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Quem compõe fora da implementação de referência precisa exportar em PDF/A (o Anexo I do Manual explica como).</w:t>
      </w:r>
    </w:p>
    <w:p>
      <w:pPr>
        <w:pStyle w:val="Heading3"/>
        <w:keepNext/>
      </w:pPr>
      <w:r>
        <w:t xml:space="preserve">D22  Quem preenche a folha adicional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Dado próprio</w:t>
      </w:r>
      <w:r>
        <w:rPr>
          <w:color w:val="595959"/>
          <w:sz w:val="17"/>
          <w:szCs w:val="17"/>
        </w:rPr>
        <w:t xml:space="preserve">   ·   3.1.2.1.2; Anexo H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A UFRJ DETERMINA</w:t>
      </w:r>
    </w:p>
    <w:p>
      <w:pPr>
        <w:pBdr>
          <w:left w:val="single" w:color="9DB3CF" w:sz="18" w:space="10"/>
        </w:pBdr>
        <w:spacing w:after="20" w:line="276"/>
        <w:ind w:left="340"/>
      </w:pPr>
      <w:r>
        <w:rPr>
          <w:i/>
          <w:iCs/>
          <w:color w:val="333333"/>
          <w:sz w:val="20"/>
          <w:szCs w:val="20"/>
        </w:rPr>
        <w:t xml:space="preserve">“A partir de agosto de 2026, as teses e dissertações devem apresentar a folha adicional com os dados sobre o trabalho devidamente preenchidos pelo programa de pós-graduação.”</w:t>
      </w:r>
    </w:p>
    <w:p>
      <w:pPr>
        <w:pBdr>
          <w:left w:val="single" w:color="9DB3CF" w:sz="18" w:space="10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3.1.2.1.2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O Manual atribui o preenchimento “ao programa de pós-graduação”, mas não diz quem, no Programa, nem em que momento. A Norma não trata do assunto.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A secretaria do Programa preenche e devolve ao discente antes do depósito.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O discente preenche e a secretaria confere.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O orientador preenche.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(b), registrada na resolução e não na Norma, por ser procedimento e não forma gráfica. A ficha catalográfica vem do Gerador do SiBI ou da biblioteca do Programa, como manda o Manual.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Os campos (tipo de produção, projeto vinculado, área de concentração, agências de fomento) são dados que o discente conhece; a conferência pela secretaria cumpre o “preenchidos pelo programa”.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b/>
          <w:bCs/>
          <w:color w:val="595959"/>
          <w:sz w:val="19"/>
          <w:szCs w:val="19"/>
        </w:rPr>
        <w:t xml:space="preserve">A folha adicional já é obrigatória desde agosto de 2026</w:t>
      </w:r>
      <w:r>
        <w:rPr>
          <w:color w:val="595959"/>
          <w:sz w:val="19"/>
          <w:szCs w:val="19"/>
        </w:rPr>
        <w:t xml:space="preserve">, com ou sem esta resolução.</w:t>
      </w:r>
    </w:p>
    <w:p>
      <w:pPr>
        <w:pStyle w:val="Heading3"/>
        <w:keepNext/>
      </w:pPr>
      <w:r>
        <w:t xml:space="preserve">D23  Implementação de referência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Manual omisso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A UFRJ não exige ferramenta. A COPPE pode indicar uma implementação de referência e decidir se ela é obrigatória.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Não indicar nenhuma.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Indicar a classe LaTeX como referência, sem obrigar seu uso.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(c)  </w:t>
      </w:r>
      <w:r>
        <w:t xml:space="preserve">Obrigar o uso da classe.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(b): a classe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ufrj</w:t>
            </w:r>
            <w:r>
              <w:t xml:space="preserve"> com o estilo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ufrj-coppe</w:t>
            </w:r>
            <w:r>
              <w:t xml:space="preserve">, versões 5.0 e posteriores (CoppeTeX 5.x), em github.com/COPPE-UFRJ/CoppeTeX. Havendo divergência entre a Norma e o que a classe produz, </w:t>
            </w:r>
            <w:r>
              <w:rPr>
                <w:b/>
                <w:bCs/>
              </w:rPr>
              <w:t xml:space="preserve">prevalecem a Norma e o Manual</w:t>
            </w:r>
            <w:r>
              <w:t xml:space="preserve">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Obrigar LaTeX excluiria quem escreve em editor de texto. Indicar uma referência dá a todos um modelo verificável do que a Norma exige.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Quem usa Word ou outra ferramenta segue a Norma e o Manual diretamente.</w:t>
      </w:r>
    </w:p>
    <w:p>
      <w:pPr>
        <w:pStyle w:val="Heading3"/>
        <w:keepNext/>
      </w:pPr>
      <w:r>
        <w:t xml:space="preserve">D24  Vigência e transição</w:t>
      </w:r>
    </w:p>
    <w:p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</w:t>
      </w:r>
      <w:r>
        <w:rPr>
          <w:color w:val="595959"/>
          <w:sz w:val="17"/>
          <w:szCs w:val="17"/>
        </w:rPr>
        <w:t xml:space="preserve">   ·   Manual omisso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O QUE FICA PARA A COPPE</w:t>
      </w:r>
    </w:p>
    <w:p>
      <w:pPr>
        <w:spacing w:after="120" w:line="288"/>
      </w:pPr>
      <w:r>
        <w:t xml:space="preserve">A data a partir da qual a Norma se aplica, e o que acontece com os trabalhos em curso.</w:t>
      </w:r>
    </w:p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ALTERNATIVAS</w:t>
      </w:r>
    </w:p>
    <w:p>
      <w:pPr>
        <w:spacing w:after="60" w:line="276"/>
        <w:ind w:left="567" w:hanging="397"/>
      </w:pPr>
      <w:r>
        <w:rPr>
          <w:b/>
          <w:bCs/>
        </w:rPr>
        <w:t xml:space="preserve">(a)  </w:t>
      </w:r>
      <w:r>
        <w:t xml:space="preserve">Vigência imediata.</w:t>
      </w:r>
    </w:p>
    <w:p>
      <w:pPr>
        <w:spacing w:after="60" w:line="276"/>
        <w:ind w:left="567" w:hanging="397"/>
      </w:pPr>
      <w:r>
        <w:rPr>
          <w:b/>
          <w:bCs/>
        </w:rPr>
        <w:t xml:space="preserve">(b)  </w:t>
      </w:r>
      <w:r>
        <w:t xml:space="preserve">Vigência em data futura (sugestão: noventa dias), facultada a adoção imediata.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1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PROPOSTA</w:t>
            </w:r>
          </w:p>
          <w:p>
            <w:pPr>
              <w:spacing w:after="80" w:line="276"/>
            </w:pPr>
            <w:r>
              <w:t xml:space="preserve">Alternativa (b). Os trabalhos depositados antes da data podem seguir a norma de 2008/2019.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A5F"/>
          <w:spacing w:val="20"/>
          <w:sz w:val="16"/>
          <w:szCs w:val="16"/>
        </w:rPr>
        <w:t xml:space="preserve">JUSTIFICATIVA</w:t>
      </w:r>
    </w:p>
    <w:p>
      <w:pPr>
        <w:spacing w:after="120" w:line="288"/>
      </w:pPr>
      <w:r>
        <w:t xml:space="preserve">A transição só alcança o que é escolha da COPPE. </w:t>
      </w:r>
      <w:r>
        <w:rPr>
          <w:b/>
          <w:bCs/>
        </w:rPr>
        <w:t xml:space="preserve">O que vem do Manual e das Resoluções da UFRJ já vale</w:t>
      </w:r>
      <w:r>
        <w:t xml:space="preserve">, independentemente desta resolução: a folha adicional (desde agosto de 2026), o PDF/A, a paginação do 2.7 e a entrega exclusivamente digital.</w:t>
      </w:r>
    </w:p>
    <w:p>
      <w:pPr>
        <w:pBdr>
          <w:bottom w:val="single" w:color="D9D9D9" w:sz="4" w:space="8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Noventa dias dão folga às secretarias e aos discentes em fase final.</w:t>
      </w:r>
    </w:p>
    <w:p>
      <w:r>
        <w:br w:type="page"/>
      </w:r>
    </w:p>
    <w:p>
      <w:pPr>
        <w:pStyle w:val="Heading1"/>
      </w:pPr>
      <w:r>
        <w:t xml:space="preserve">4  Minuta da resolução</w:t>
      </w:r>
    </w:p>
    <w:p>
      <w:pPr>
        <w:spacing w:after="120" w:line="288"/>
      </w:pPr>
      <w:r>
        <w:t xml:space="preserve">Texto proposto para deliberação. Os trechos entre colchetes indicam de qual decisão do Capítulo 3 eles dependem; se a CPGP escolher outra alternativa, o dispositivo muda ou cai.</w:t>
      </w:r>
    </w:p>
    <w:p>
      <w:pPr>
        <w:spacing w:after="120" w:before="240"/>
        <w:jc w:val="center"/>
      </w:pPr>
      <w:r>
        <w:rPr>
          <w:b/>
          <w:bCs/>
          <w:sz w:val="22"/>
          <w:szCs w:val="22"/>
        </w:rPr>
        <w:t xml:space="preserve">RESOLUÇÃO CPGP/COPPE N.º ___/2026</w:t>
      </w:r>
    </w:p>
    <w:p>
      <w:pPr>
        <w:spacing w:after="240" w:line="264"/>
        <w:ind w:left="4536"/>
      </w:pPr>
      <w:r>
        <w:rPr>
          <w:i w:val="false"/>
          <w:iCs w:val="false"/>
          <w:sz w:val="20"/>
          <w:szCs w:val="20"/>
        </w:rPr>
        <w:t xml:space="preserve">Aprova a </w:t>
      </w:r>
      <w:r>
        <w:rPr>
          <w:i/>
          <w:iCs/>
          <w:sz w:val="20"/>
          <w:szCs w:val="20"/>
        </w:rPr>
        <w:t xml:space="preserve">Norma para a Elaboração Gráfica de Teses e Dissertações da COPPE/UFRJ</w:t>
      </w:r>
      <w:r>
        <w:rPr>
          <w:i w:val="false"/>
          <w:iCs w:val="false"/>
          <w:sz w:val="20"/>
          <w:szCs w:val="20"/>
        </w:rPr>
        <w:t xml:space="preserve">, edição 2026, e dá outras providências.</w:t>
      </w:r>
    </w:p>
    <w:p>
      <w:pPr>
        <w:spacing w:after="120" w:line="288"/>
        <w:jc w:val="both"/>
      </w:pPr>
      <w:r>
        <w:t xml:space="preserve">A Comissão de Programas de Pós-Graduação da COPPE/UFRJ, no uso de suas atribuições, considerando o </w:t>
      </w:r>
      <w:r>
        <w:rPr>
          <w:i/>
          <w:iCs/>
        </w:rPr>
        <w:t xml:space="preserve">Manual para Elaboração e Normalização de Trabalhos Acadêmicos</w:t>
      </w:r>
      <w:r>
        <w:t xml:space="preserve"> da UFRJ/SiBI, 9.ª edição revista (2026), e as Resoluções CEPG n. 246/2023 e n. 302/2024, </w:t>
      </w:r>
      <w:r>
        <w:rPr>
          <w:b/>
          <w:bCs/>
        </w:rPr>
        <w:t xml:space="preserve">resolve</w:t>
      </w:r>
      <w:r>
        <w:t xml:space="preserve">:</w:t>
      </w:r>
    </w:p>
    <w:p>
      <w:pPr>
        <w:spacing w:after="140" w:line="288"/>
        <w:jc w:val="both"/>
      </w:pPr>
      <w:r>
        <w:rPr>
          <w:b/>
          <w:bCs/>
        </w:rPr>
        <w:t xml:space="preserve">Art. 1.º  </w:t>
      </w:r>
      <w:r>
        <w:t xml:space="preserve">Fica aprovada a </w:t>
      </w:r>
      <w:r>
        <w:rPr>
          <w:i/>
          <w:iCs/>
        </w:rPr>
        <w:t xml:space="preserve">Norma para a Elaboração Gráfica de Teses e Dissertações da COPPE/UFRJ</w:t>
      </w:r>
      <w:r>
        <w:t xml:space="preserve">, edição 2026, na forma do Anexo, que revoga a norma aprovada por esta Comissão em 15 de julho de 2008 e suas revisões de 1.º de outubro de 2009, 10 de setembro de 2010 e 26 de novembro de 2019.</w:t>
      </w:r>
    </w:p>
    <w:p>
      <w:pPr>
        <w:spacing w:after="140" w:line="288"/>
        <w:jc w:val="both"/>
      </w:pPr>
      <w:r>
        <w:rPr>
          <w:b/>
          <w:bCs/>
        </w:rPr>
        <w:t xml:space="preserve">Art. 2.º  </w:t>
      </w:r>
      <w:r>
        <w:t xml:space="preserve">A COPPE adota integralmente o </w:t>
      </w:r>
      <w:r>
        <w:rPr>
          <w:i/>
          <w:iCs/>
        </w:rPr>
        <w:t xml:space="preserve">Manual para Elaboração e Normalização de Trabalhos Acadêmicos</w:t>
      </w:r>
      <w:r>
        <w:t xml:space="preserve"> da UFRJ/SiBI, em sua edição vigente. A Norma de que trata o art. 1.º registra exclusivamente onde a COPPE o especializa; no que ela for omissa, aplica-se o Manual.</w:t>
      </w:r>
    </w:p>
    <w:p>
      <w:pPr>
        <w:spacing w:after="140" w:line="288"/>
        <w:jc w:val="both"/>
      </w:pPr>
      <w:r>
        <w:rPr>
          <w:b/>
          <w:bCs/>
        </w:rPr>
        <w:t xml:space="preserve">Art. 3.º  </w:t>
      </w:r>
      <w:r>
        <w:t xml:space="preserve">As teses e dissertações da COPPE são redigidas em português, inglês ou espanhol, nos termos do art. 57 da Resolução CEPG n. 302/2024.</w:t>
      </w:r>
    </w:p>
    <w:p>
      <w:pPr>
        <w:spacing w:after="140" w:line="288"/>
        <w:ind w:left="567"/>
        <w:jc w:val="both"/>
      </w:pPr>
      <w:r>
        <w:rPr>
          <w:b/>
          <w:bCs/>
        </w:rPr>
        <w:t xml:space="preserve">§ 1.º  </w:t>
      </w:r>
      <w:r>
        <w:t xml:space="preserve">[</w:t>
      </w:r>
      <w:r>
        <w:rPr>
          <w:i/>
          <w:iCs/>
        </w:rPr>
        <w:t xml:space="preserve">Alternativa (b) da decisão D7</w:t>
      </w:r>
      <w:r>
        <w:t xml:space="preserve">] A redação em outro idioma depende de previsão no regulamento do Programa, nos termos do § 1.º do art. 57 da Resolução CEPG n. 302/2024, e observa o § 2.º do mesmo artigo. Apêndices e Anexos podem ser redigidos em qualquer língua.</w:t>
      </w:r>
    </w:p>
    <w:p>
      <w:pPr>
        <w:spacing w:after="140" w:line="288"/>
        <w:ind w:left="567"/>
        <w:jc w:val="both"/>
      </w:pPr>
      <w:r>
        <w:rPr>
          <w:b/>
          <w:bCs/>
        </w:rPr>
        <w:t xml:space="preserve">§ 2.º  </w:t>
      </w:r>
      <w:r>
        <w:t xml:space="preserve">Os elementos de identidade institucional — nome da Universidade, do Instituto e do Programa, cidade, estado e país, natureza e objetivo do trabalho — figuram sempre em português, qualquer que seja o idioma de redação.</w:t>
      </w:r>
    </w:p>
    <w:p>
      <w:pPr>
        <w:spacing w:after="140" w:line="288"/>
        <w:jc w:val="both"/>
      </w:pPr>
      <w:r>
        <w:rPr>
          <w:b/>
          <w:bCs/>
        </w:rPr>
        <w:t xml:space="preserve">Art. 4.º  </w:t>
      </w:r>
      <w:r>
        <w:t xml:space="preserve">O trabalho traz resumo em português, sempre em primeiro lugar, e resumo em inglês. Quando redigido em idioma que não seja nenhum desses dois, traz também um terceiro resumo, no idioma de redação, depois dos outros dois.</w:t>
      </w:r>
    </w:p>
    <w:p>
      <w:pPr>
        <w:spacing w:after="140" w:line="288"/>
        <w:jc w:val="both"/>
      </w:pPr>
      <w:r>
        <w:rPr>
          <w:b/>
          <w:bCs/>
        </w:rPr>
        <w:t xml:space="preserve">Art. 5.º  </w:t>
      </w:r>
      <w:r>
        <w:t xml:space="preserve">A versão final é entregue exclusivamente em meio digital, em arquivo PDF/A, nos termos da Resolução CEPG n. 246/2023 e do item 2.2(d) do Manual, com a folha adicional prevista no item 3.1.2.1.2 do Manual.</w:t>
      </w:r>
    </w:p>
    <w:p>
      <w:pPr>
        <w:spacing w:after="140" w:line="288"/>
        <w:ind w:left="567"/>
        <w:jc w:val="both"/>
      </w:pPr>
      <w:r>
        <w:rPr>
          <w:b/>
          <w:bCs/>
        </w:rPr>
        <w:t xml:space="preserve">Parágrafo único.  </w:t>
      </w:r>
      <w:r>
        <w:t xml:space="preserve">[</w:t>
      </w:r>
      <w:r>
        <w:rPr>
          <w:i/>
          <w:iCs/>
        </w:rPr>
        <w:t xml:space="preserve">Decisão D22</w:t>
      </w:r>
      <w:r>
        <w:t xml:space="preserve">] Os campos da folha adicional são preenchidos pelo discente e conferidos pela secretaria do Programa antes do depósito.</w:t>
      </w:r>
    </w:p>
    <w:p>
      <w:pPr>
        <w:spacing w:after="140" w:line="288"/>
        <w:jc w:val="both"/>
      </w:pPr>
      <w:r>
        <w:rPr>
          <w:b/>
          <w:bCs/>
        </w:rPr>
        <w:t xml:space="preserve">Art. 6.º  </w:t>
      </w:r>
      <w:r>
        <w:t xml:space="preserve">Fica reconhecida a classe LaTeX </w:t>
      </w:r>
      <w:r>
        <w:rPr>
          <w:rFonts w:ascii="Consolas" w:cs="Consolas" w:eastAsia="Consolas" w:hAnsi="Consolas"/>
          <w:sz w:val="20"/>
          <w:szCs w:val="20"/>
        </w:rPr>
        <w:t xml:space="preserve">ufrj</w:t>
      </w:r>
      <w:r>
        <w:t xml:space="preserve"> com o estilo </w:t>
      </w:r>
      <w:r>
        <w:rPr>
          <w:rFonts w:ascii="Consolas" w:cs="Consolas" w:eastAsia="Consolas" w:hAnsi="Consolas"/>
          <w:sz w:val="20"/>
          <w:szCs w:val="20"/>
        </w:rPr>
        <w:t xml:space="preserve">ufrj-coppe</w:t>
      </w:r>
      <w:r>
        <w:t xml:space="preserve">, versões 5.0 e posteriores, distribuída em github.com/COPPE-UFRJ/CoppeTeX, como implementação de referência da Norma, sem obrigatoriedade de uso.</w:t>
      </w:r>
    </w:p>
    <w:p>
      <w:pPr>
        <w:spacing w:after="140" w:line="288"/>
        <w:ind w:left="567"/>
        <w:jc w:val="both"/>
      </w:pPr>
      <w:r>
        <w:rPr>
          <w:b/>
          <w:bCs/>
        </w:rPr>
        <w:t xml:space="preserve">Parágrafo único.  </w:t>
      </w:r>
      <w:r>
        <w:t xml:space="preserve">Em caso de divergência entre a Norma e o que a versão estável corrente da classe produzir, prevalecem a Norma e o Manual, e a divergência é comunicada à equipe mantenedora para correção.</w:t>
      </w:r>
    </w:p>
    <w:p>
      <w:pPr>
        <w:spacing w:after="140" w:line="288"/>
        <w:jc w:val="both"/>
      </w:pPr>
      <w:r>
        <w:rPr>
          <w:b/>
          <w:bCs/>
        </w:rPr>
        <w:t xml:space="preserve">Art. 7.º  </w:t>
      </w:r>
      <w:r>
        <w:t xml:space="preserve">A lista de Programas constante da Norma é atualizada por comunicação da Direção, e as correções técnicas da implementação de referência que não alterem o texto da Norma são feitas pela equipe mantenedora, ambas sem nova deliberação desta Comissão. Qualquer alteração do texto da Norma depende de deliberação da CPGP.</w:t>
      </w:r>
    </w:p>
    <w:p>
      <w:pPr>
        <w:spacing w:after="140" w:line="288"/>
        <w:jc w:val="both"/>
      </w:pPr>
      <w:r>
        <w:rPr>
          <w:b/>
          <w:bCs/>
        </w:rPr>
        <w:t xml:space="preserve">Art. 8.º  </w:t>
      </w:r>
      <w:r>
        <w:t xml:space="preserve">Esta Resolução entra em vigor na data de sua aprovação e aplica-se aos trabalhos depositados a partir de ____ de ______________ de 20__, facultada a adoção imediata aos trabalhos em curso.</w:t>
      </w:r>
    </w:p>
    <w:p>
      <w:pPr>
        <w:spacing w:before="360"/>
        <w:jc w:val="right"/>
      </w:pPr>
      <w:r>
        <w:t xml:space="preserve">Rio de Janeiro, ____ de ______________ de 2026.</w:t>
      </w:r>
    </w:p>
    <w:p>
      <w:pPr>
        <w:pStyle w:val="Heading1"/>
        <w:spacing w:before="480"/>
      </w:pPr>
      <w:r>
        <w:t xml:space="preserve">5  Documentos que acompanham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NORMA_COPPE_2026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Texto da Norma proposta — o Anexo da resolução.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REVISAO_SIBI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Conferência item a item da implementação de referência contra o Manual 2026.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Exemplos em português, inglês e espanhol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Documentos completos compostos pela implementação de referência, nos três idiomas da Res. CEPG 302/2024.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UFRJ/SiBI, 9.ª ed. rev. (2026)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norma da UFRJ que a COPPE adota integralmente.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Proposta de Resolução CPGP · Norma Gráfica COPPE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9DB3CF" w:sz="6" w:space="4"/>
      </w:pBd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3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Resolução CPGP — Norma Gráfica COPPE 2026</dc:title>
  <dc:creator>Equipe CoppeTeX</dc:creator>
  <dc:description>Proposta de resolução e fundamentação das escolhas da COPPE diante do Manual UFRJ/SiBI 2026</dc:description>
  <cp:lastModifiedBy>Un-named</cp:lastModifiedBy>
  <cp:revision>1</cp:revision>
  <dcterms:created xsi:type="dcterms:W3CDTF">2026-10-09T19:27:00.191Z</dcterms:created>
  <dcterms:modified xsi:type="dcterms:W3CDTF">2026-10-09T19:27:00.192Z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