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6B7E" w14:textId="68D78B99" w:rsidR="00E856F7" w:rsidRDefault="0085185D">
      <w:pPr>
        <w:spacing w:after="300"/>
      </w:pPr>
      <w:r>
        <w:rPr>
          <w:b/>
          <w:bCs/>
          <w:color w:val="1F3A5F"/>
          <w:sz w:val="44"/>
          <w:szCs w:val="44"/>
        </w:rPr>
        <w:t xml:space="preserve">Explicação para </w:t>
      </w:r>
      <w:r w:rsidR="00000000">
        <w:rPr>
          <w:b/>
          <w:bCs/>
          <w:color w:val="1F3A5F"/>
          <w:sz w:val="44"/>
          <w:szCs w:val="44"/>
        </w:rPr>
        <w:t>Norma para a Elaboração Gráfica de Teses e Dissertações da COPPE/UFRJ — edição 2026</w:t>
      </w:r>
    </w:p>
    <w:p w14:paraId="27198D94" w14:textId="77777777" w:rsidR="00E856F7" w:rsidRDefault="00000000">
      <w:pPr>
        <w:pBdr>
          <w:bottom w:val="single" w:sz="8" w:space="12" w:color="1F3A5F"/>
        </w:pBdr>
        <w:spacing w:after="1600" w:line="320" w:lineRule="auto"/>
      </w:pPr>
      <w:r>
        <w:rPr>
          <w:color w:val="404040"/>
          <w:sz w:val="26"/>
          <w:szCs w:val="26"/>
        </w:rPr>
        <w:t>As escolhas que cabem à COPPE diante das regras da UFRJ, uma a uma, com a regra de origem, as alternativas e a proposta</w:t>
      </w:r>
    </w:p>
    <w:p w14:paraId="1A592136" w14:textId="77777777" w:rsidR="00E856F7" w:rsidRDefault="00000000">
      <w:pPr>
        <w:spacing w:after="40"/>
      </w:pPr>
      <w:r>
        <w:rPr>
          <w:b/>
          <w:bCs/>
        </w:rPr>
        <w:t>Origem:</w:t>
      </w:r>
      <w:r>
        <w:t xml:space="preserve"> equipe mantenedora do </w:t>
      </w:r>
      <w:proofErr w:type="spellStart"/>
      <w:r>
        <w:t>CoppeTeX</w:t>
      </w:r>
      <w:proofErr w:type="spellEnd"/>
    </w:p>
    <w:p w14:paraId="685BE22A" w14:textId="77777777" w:rsidR="00E856F7" w:rsidRDefault="00000000">
      <w:pPr>
        <w:spacing w:after="40"/>
      </w:pPr>
      <w:r>
        <w:rPr>
          <w:b/>
          <w:bCs/>
        </w:rPr>
        <w:t>Data:</w:t>
      </w:r>
      <w:r>
        <w:t xml:space="preserve"> outubro de 2026</w:t>
      </w:r>
    </w:p>
    <w:p w14:paraId="28006563" w14:textId="77777777" w:rsidR="00E856F7" w:rsidRDefault="00000000">
      <w:pPr>
        <w:spacing w:after="40"/>
      </w:pPr>
      <w:r>
        <w:rPr>
          <w:b/>
          <w:bCs/>
        </w:rPr>
        <w:t>Acompanha:</w:t>
      </w:r>
      <w:r>
        <w:t xml:space="preserve"> NORMA_COPPE_2026 (texto da Norma proposta, que vai como Anexo da resolução)</w:t>
      </w:r>
    </w:p>
    <w:p w14:paraId="323E51AB" w14:textId="77777777" w:rsidR="00E856F7" w:rsidRDefault="00000000">
      <w:pPr>
        <w:spacing w:after="40"/>
      </w:pPr>
      <w:r>
        <w:rPr>
          <w:b/>
          <w:bCs/>
        </w:rPr>
        <w:t>Base:</w:t>
      </w:r>
      <w:r>
        <w:t xml:space="preserve"> </w:t>
      </w:r>
      <w:r>
        <w:rPr>
          <w:i/>
          <w:iCs/>
        </w:rPr>
        <w:t>Manual para Elaboração e Normalização de Trabalhos Acadêmicos</w:t>
      </w:r>
      <w:r>
        <w:t>, UFRJ/</w:t>
      </w:r>
      <w:proofErr w:type="spellStart"/>
      <w:r>
        <w:t>SiBI</w:t>
      </w:r>
      <w:proofErr w:type="spellEnd"/>
      <w:r>
        <w:t>, 9.ª ed. rev., 2026; Res. CEPG n. 302/2024; Res. CEPG n. 246/2023</w:t>
      </w:r>
    </w:p>
    <w:p w14:paraId="1BCFEAA2" w14:textId="77777777" w:rsidR="00E856F7" w:rsidRDefault="00000000">
      <w:r>
        <w:br w:type="page"/>
      </w:r>
    </w:p>
    <w:p w14:paraId="126916B5" w14:textId="77777777" w:rsidR="00E856F7" w:rsidRDefault="00000000">
      <w:pPr>
        <w:pStyle w:val="Heading1"/>
      </w:pPr>
      <w:proofErr w:type="gramStart"/>
      <w:r>
        <w:lastRenderedPageBreak/>
        <w:t>1  O</w:t>
      </w:r>
      <w:proofErr w:type="gramEnd"/>
      <w:r>
        <w:t xml:space="preserve"> que a CPGP está decidindo</w:t>
      </w:r>
    </w:p>
    <w:p w14:paraId="6498C6AA" w14:textId="77777777" w:rsidR="00E856F7" w:rsidRDefault="00000000">
      <w:pPr>
        <w:spacing w:after="120" w:line="288" w:lineRule="auto"/>
      </w:pPr>
      <w:r>
        <w:t xml:space="preserve">A norma gráfica da COPPE é de 2008, revista pela última vez em 2019. Desde então, a UFRJ decidiu sozinha a maior parte do que ela regulava: o </w:t>
      </w:r>
      <w:r>
        <w:rPr>
          <w:b/>
          <w:bCs/>
        </w:rPr>
        <w:t xml:space="preserve">Manual do </w:t>
      </w:r>
      <w:proofErr w:type="spellStart"/>
      <w:r>
        <w:rPr>
          <w:b/>
          <w:bCs/>
        </w:rPr>
        <w:t>SiBI</w:t>
      </w:r>
      <w:proofErr w:type="spellEnd"/>
      <w:r>
        <w:t xml:space="preserve"> (9.ª edição revista, 2026) fixa formato, margens, espaçamento, corpo de letra, paginação, estrutura e apresentação das referências; a </w:t>
      </w:r>
      <w:r>
        <w:rPr>
          <w:b/>
          <w:bCs/>
        </w:rPr>
        <w:t>Res. CEPG n. 246/2023</w:t>
      </w:r>
      <w:r>
        <w:t xml:space="preserve"> extinguiu a via impressa; a </w:t>
      </w:r>
      <w:r>
        <w:rPr>
          <w:b/>
          <w:bCs/>
        </w:rPr>
        <w:t>Res. CEPG n. 302/2024</w:t>
      </w:r>
      <w:r>
        <w:t xml:space="preserve"> fixou os idiomas de redação; e o novo modelo de coleta da CAPES criou a folha adicional, obrigatória desde agosto de 2026.</w:t>
      </w:r>
    </w:p>
    <w:p w14:paraId="540A4857" w14:textId="77777777" w:rsidR="00E856F7" w:rsidRDefault="00000000">
      <w:pPr>
        <w:spacing w:after="120" w:line="288" w:lineRule="auto"/>
      </w:pPr>
      <w:r>
        <w:t>Sobre tudo isso a COPPE não tem o que decidir. Mas o próprio Manual deixa espaço para as unidades:</w:t>
      </w:r>
    </w:p>
    <w:p w14:paraId="2986109E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“A utilização deste Manual pressupõe uma flexibilidade, fundamentada nas especificações de cada área do conhecimento e decisões convencionadas pelas congregações acadêmicas.”</w:t>
      </w:r>
    </w:p>
    <w:p w14:paraId="17383D2A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 UFRJ/</w:t>
      </w:r>
      <w:proofErr w:type="spellStart"/>
      <w:r>
        <w:rPr>
          <w:color w:val="595959"/>
          <w:sz w:val="17"/>
          <w:szCs w:val="17"/>
        </w:rPr>
        <w:t>SiBI</w:t>
      </w:r>
      <w:proofErr w:type="spellEnd"/>
      <w:r>
        <w:rPr>
          <w:color w:val="595959"/>
          <w:sz w:val="17"/>
          <w:szCs w:val="17"/>
        </w:rPr>
        <w:t xml:space="preserve"> 2026, Introdução</w:t>
      </w:r>
    </w:p>
    <w:p w14:paraId="638F3DD6" w14:textId="77777777" w:rsidR="00E856F7" w:rsidRDefault="00000000">
      <w:pPr>
        <w:spacing w:after="120" w:line="288" w:lineRule="auto"/>
      </w:pPr>
      <w:r>
        <w:t xml:space="preserve">Esse espaço aparece de quatro formas no texto do Manual: quando ele diz </w:t>
      </w:r>
      <w:r>
        <w:rPr>
          <w:b/>
          <w:bCs/>
        </w:rPr>
        <w:t>“opcional”</w:t>
      </w:r>
      <w:r>
        <w:t xml:space="preserve">, </w:t>
      </w:r>
      <w:r>
        <w:rPr>
          <w:b/>
          <w:bCs/>
        </w:rPr>
        <w:t>“sugere-se”</w:t>
      </w:r>
      <w:r>
        <w:t xml:space="preserve"> ou </w:t>
      </w:r>
      <w:r>
        <w:rPr>
          <w:b/>
          <w:bCs/>
        </w:rPr>
        <w:t>“recomenda-se”</w:t>
      </w:r>
      <w:r>
        <w:t xml:space="preserve">; quando pede um dado que só a unidade tem (o nome do Programa); quando cala (a família tipográfica); e quando o texto e os exemplos dizem coisas diferentes. </w:t>
      </w:r>
      <w:r>
        <w:rPr>
          <w:b/>
          <w:bCs/>
        </w:rPr>
        <w:t>Este documento lista cada um desses pontos, mostra a regra da UFRJ de onde ele sai, as alternativas possíveis e a proposta</w:t>
      </w:r>
      <w:r>
        <w:t xml:space="preserve"> — para que a CPGP vote sabendo o que está escolhendo, e não um formato inteiro.</w:t>
      </w:r>
    </w:p>
    <w:p w14:paraId="094422D2" w14:textId="77777777" w:rsidR="00E856F7" w:rsidRDefault="00000000">
      <w:pPr>
        <w:pStyle w:val="Heading2"/>
      </w:pPr>
      <w:proofErr w:type="gramStart"/>
      <w:r>
        <w:t>1.1  Onde</w:t>
      </w:r>
      <w:proofErr w:type="gramEnd"/>
      <w:r>
        <w:t xml:space="preserve"> está cada regra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600"/>
        <w:gridCol w:w="3172"/>
      </w:tblGrid>
      <w:tr w:rsidR="00E856F7" w14:paraId="55B0E79A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913B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Fonte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84E16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 que fixa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910A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 que deixa à COPPE</w:t>
            </w:r>
          </w:p>
        </w:tc>
      </w:tr>
      <w:tr w:rsidR="00E856F7" w14:paraId="083D8A55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D6E8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Res. CEPG n. 302/2024</w:t>
            </w:r>
            <w:r>
              <w:rPr>
                <w:color w:val="000000"/>
                <w:sz w:val="18"/>
                <w:szCs w:val="18"/>
              </w:rPr>
              <w:t>, art. 57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8BEE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Idiomas de redação: português, inglês ou espanhol; parte pós-textual em qualquer língua.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D081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Outros idiomas, pelo regulamento do Programa (§ 1.º) — D7.</w:t>
            </w:r>
          </w:p>
        </w:tc>
      </w:tr>
      <w:tr w:rsidR="00E856F7" w14:paraId="5A7277F8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8B77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Res. CEPG n. 246/2023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21A0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Entrega exclusivamente digital; depósito na Base Minerva; fim da capa dura.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B3AA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Nada quanto à forma.</w:t>
            </w:r>
          </w:p>
        </w:tc>
      </w:tr>
      <w:tr w:rsidR="00E856F7" w14:paraId="18107D21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3E8E" w14:textId="77777777" w:rsidR="00E856F7" w:rsidRPr="00734A76" w:rsidRDefault="00000000">
            <w:pPr>
              <w:spacing w:after="20" w:line="252" w:lineRule="auto"/>
              <w:rPr>
                <w:lang w:val="en-US"/>
              </w:rPr>
            </w:pPr>
            <w:r w:rsidRPr="00734A76">
              <w:rPr>
                <w:b/>
                <w:bCs/>
                <w:color w:val="000000"/>
                <w:sz w:val="18"/>
                <w:szCs w:val="18"/>
                <w:lang w:val="en-US"/>
              </w:rPr>
              <w:t>Manual UFRJ/</w:t>
            </w:r>
            <w:proofErr w:type="spellStart"/>
            <w:r w:rsidRPr="00734A76">
              <w:rPr>
                <w:b/>
                <w:bCs/>
                <w:color w:val="000000"/>
                <w:sz w:val="18"/>
                <w:szCs w:val="18"/>
                <w:lang w:val="en-US"/>
              </w:rPr>
              <w:t>SiBI</w:t>
            </w:r>
            <w:proofErr w:type="spellEnd"/>
            <w:r w:rsidRPr="00734A76">
              <w:rPr>
                <w:color w:val="000000"/>
                <w:sz w:val="18"/>
                <w:szCs w:val="18"/>
                <w:lang w:val="en-US"/>
              </w:rPr>
              <w:t>, 9.ª ed. rev., 2026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C925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Papel, margens, espaçamento, corpo 12, paginação, estrutura, resumos, ilustrações, citações, referências, PDF/A, folha adicional.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5826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O que ele marca como opcional, sugerido ou recomendado, os dados próprios e os silêncios — D1 a D22.</w:t>
            </w:r>
          </w:p>
        </w:tc>
      </w:tr>
      <w:tr w:rsidR="00E856F7" w14:paraId="693DFA4D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0DDD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Modelos do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SiBI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(folha de rosto e folha adicional)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BDEF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O desenho das duas folhas; valem como errata sobre os exemplos do Manual.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8742E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856F7" w14:paraId="774BAEDB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43E7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ABNT</w:t>
            </w:r>
            <w:r>
              <w:rPr>
                <w:color w:val="000000"/>
                <w:sz w:val="18"/>
                <w:szCs w:val="18"/>
              </w:rPr>
              <w:t xml:space="preserve"> (NBR 6023:2025, 10520:2023, 14724:2024)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A5EB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Aplicam-se nas edições que o Manual cita, e por meio dele.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20A2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2D7FF6C1" w14:textId="77777777" w:rsidR="00E856F7" w:rsidRDefault="00E856F7">
      <w:pPr>
        <w:spacing w:after="120"/>
      </w:pPr>
    </w:p>
    <w:p w14:paraId="212A12DF" w14:textId="77777777" w:rsidR="00E856F7" w:rsidRDefault="00000000">
      <w:pPr>
        <w:pStyle w:val="Heading2"/>
      </w:pPr>
      <w:proofErr w:type="gramStart"/>
      <w:r>
        <w:t>1.2  Três</w:t>
      </w:r>
      <w:proofErr w:type="gramEnd"/>
      <w:r>
        <w:t xml:space="preserve"> regras de método</w:t>
      </w:r>
    </w:p>
    <w:p w14:paraId="6622B6CC" w14:textId="77777777" w:rsidR="00E856F7" w:rsidRDefault="00000000">
      <w:pPr>
        <w:spacing w:after="120" w:line="288" w:lineRule="auto"/>
      </w:pPr>
      <w:r>
        <w:t>A Norma proposta decide cada ponto seguindo sempre as mesmas três regras, e é por elas que as alternativas abaixo são avaliadas:</w:t>
      </w:r>
    </w:p>
    <w:p w14:paraId="5CCB9C61" w14:textId="77777777" w:rsidR="00E856F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Onde o Manual obriga, vale o Manual.</w:t>
      </w:r>
      <w:r>
        <w:t xml:space="preserve"> A Norma não o contraria em nenhum ponto.</w:t>
      </w:r>
    </w:p>
    <w:p w14:paraId="0A3B2123" w14:textId="77777777" w:rsidR="00E856F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 Norma decide só onde o Manual não obriga</w:t>
      </w:r>
      <w:r>
        <w:t xml:space="preserve"> — onde deixa escolha em aberto ou pede um dado que só a COPPE tem.</w:t>
      </w:r>
    </w:p>
    <w:p w14:paraId="197304C6" w14:textId="77777777" w:rsidR="00E856F7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Ao decidir, fica com o que os exemplos do Manual mostram</w:t>
      </w:r>
      <w:r>
        <w:t xml:space="preserve">, e os modelos do </w:t>
      </w:r>
      <w:proofErr w:type="spellStart"/>
      <w:r>
        <w:t>SiBI</w:t>
      </w:r>
      <w:proofErr w:type="spellEnd"/>
      <w:r>
        <w:t xml:space="preserve"> valem como errata dos exemplos.</w:t>
      </w:r>
    </w:p>
    <w:p w14:paraId="6C8AD739" w14:textId="77777777" w:rsidR="00E856F7" w:rsidRDefault="00000000">
      <w:pPr>
        <w:spacing w:after="120" w:line="288" w:lineRule="auto"/>
      </w:pPr>
      <w:r>
        <w:t>Cada decisão vem marcada com o tipo de diferença em relação ao Manual: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72"/>
      </w:tblGrid>
      <w:tr w:rsidR="00E856F7" w14:paraId="30FB76D8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A7DC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Tipo</w:t>
            </w:r>
          </w:p>
        </w:tc>
        <w:tc>
          <w:tcPr>
            <w:tcW w:w="7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6A07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</w:tr>
      <w:tr w:rsidR="00E856F7" w14:paraId="51F14CA6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1050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Escolha</w:t>
            </w:r>
          </w:p>
        </w:tc>
        <w:tc>
          <w:tcPr>
            <w:tcW w:w="7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B0B7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O Manual admite mais de uma forma; a COPPE fixa uma.</w:t>
            </w:r>
          </w:p>
        </w:tc>
      </w:tr>
      <w:tr w:rsidR="00E856F7" w14:paraId="56BEB7A0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52EC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Dado próprio</w:t>
            </w:r>
          </w:p>
        </w:tc>
        <w:tc>
          <w:tcPr>
            <w:tcW w:w="7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00AD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O Manual pede a informação; o valor é da COPPE.</w:t>
            </w:r>
          </w:p>
        </w:tc>
      </w:tr>
      <w:tr w:rsidR="00E856F7" w14:paraId="7F45A447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599A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Acréscimo</w:t>
            </w:r>
          </w:p>
        </w:tc>
        <w:tc>
          <w:tcPr>
            <w:tcW w:w="7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55909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Elemento que o Manual não prevê e a COPPE exige, onde o Manual não obriga e sem contrariar exemplo dele.</w:t>
            </w:r>
          </w:p>
        </w:tc>
      </w:tr>
      <w:tr w:rsidR="00E856F7" w14:paraId="7C0E5020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3B38" w14:textId="77777777" w:rsidR="00E856F7" w:rsidRDefault="00000000">
            <w:pPr>
              <w:spacing w:after="20"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Reafirmação</w:t>
            </w:r>
          </w:p>
        </w:tc>
        <w:tc>
          <w:tcPr>
            <w:tcW w:w="7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9DE6" w14:textId="77777777" w:rsidR="00E856F7" w:rsidRDefault="00000000">
            <w:pPr>
              <w:spacing w:after="20" w:line="252" w:lineRule="auto"/>
            </w:pPr>
            <w:r>
              <w:rPr>
                <w:color w:val="000000"/>
                <w:sz w:val="18"/>
                <w:szCs w:val="18"/>
              </w:rPr>
              <w:t>Nada se acrescenta; repete-se um ponto do Manual por ser fonte frequente de erro.</w:t>
            </w:r>
          </w:p>
        </w:tc>
      </w:tr>
    </w:tbl>
    <w:p w14:paraId="4C24D815" w14:textId="77777777" w:rsidR="00E856F7" w:rsidRDefault="00E856F7">
      <w:pPr>
        <w:spacing w:after="12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1B40529B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DF1E3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C826C3B" w14:textId="77777777" w:rsidR="00E856F7" w:rsidRDefault="00000000"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>COMO LER AS DECISÕES</w:t>
            </w:r>
          </w:p>
          <w:p w14:paraId="727EDBA9" w14:textId="77777777" w:rsidR="00E856F7" w:rsidRDefault="00000000">
            <w:pPr>
              <w:spacing w:after="80" w:line="276" w:lineRule="auto"/>
            </w:pPr>
            <w:r>
              <w:t xml:space="preserve">Cada decisão traz: </w:t>
            </w:r>
            <w:r>
              <w:rPr>
                <w:b/>
                <w:bCs/>
              </w:rPr>
              <w:t>a regra da UFRJ</w:t>
            </w:r>
            <w:r>
              <w:t xml:space="preserve"> (citação literal, com o item); </w:t>
            </w:r>
            <w:r>
              <w:rPr>
                <w:b/>
                <w:bCs/>
              </w:rPr>
              <w:t>o que fica para a COPPE</w:t>
            </w:r>
            <w:r>
              <w:t xml:space="preserve">; </w:t>
            </w:r>
            <w:r>
              <w:rPr>
                <w:b/>
                <w:bCs/>
              </w:rPr>
              <w:t>as alternativas</w:t>
            </w:r>
            <w:r>
              <w:t xml:space="preserve">, quando há mais de uma razoável; </w:t>
            </w:r>
            <w:r>
              <w:rPr>
                <w:b/>
                <w:bCs/>
              </w:rPr>
              <w:t>a proposta</w:t>
            </w:r>
            <w:r>
              <w:t xml:space="preserve">; </w:t>
            </w:r>
            <w:r>
              <w:rPr>
                <w:b/>
                <w:bCs/>
              </w:rPr>
              <w:t>a justificativa</w:t>
            </w:r>
            <w:r>
              <w:t xml:space="preserve">; e </w:t>
            </w:r>
            <w:r>
              <w:rPr>
                <w:b/>
                <w:bCs/>
              </w:rPr>
              <w:t>o efeito para quem escreve</w:t>
            </w:r>
            <w:r>
              <w:t>.</w:t>
            </w:r>
          </w:p>
          <w:p w14:paraId="07BDE67F" w14:textId="77777777" w:rsidR="00E856F7" w:rsidRDefault="00000000">
            <w:pPr>
              <w:spacing w:after="80" w:line="276" w:lineRule="auto"/>
            </w:pPr>
            <w:r>
              <w:t xml:space="preserve">As decisões marcadas </w:t>
            </w:r>
            <w:r>
              <w:rPr>
                <w:b/>
                <w:bCs/>
              </w:rPr>
              <w:t>EM ABERTO</w:t>
            </w:r>
            <w:r>
              <w:t xml:space="preserve"> são aquelas em que a CPGP precisa de fato escolher — porque a Norma ainda não decide, porque o Manual se contradiz, ou porque há mais de uma alternativa defensável. As demais já estão decididas na Norma e seguem a regra de método.</w:t>
            </w:r>
          </w:p>
        </w:tc>
      </w:tr>
    </w:tbl>
    <w:p w14:paraId="0DADCE31" w14:textId="77777777" w:rsidR="00E856F7" w:rsidRDefault="00000000">
      <w:r>
        <w:br w:type="page"/>
      </w:r>
    </w:p>
    <w:p w14:paraId="5FCBE505" w14:textId="77777777" w:rsidR="00E856F7" w:rsidRDefault="00000000">
      <w:pPr>
        <w:pStyle w:val="Heading1"/>
      </w:pPr>
      <w:proofErr w:type="gramStart"/>
      <w:r>
        <w:lastRenderedPageBreak/>
        <w:t>2  Quadro</w:t>
      </w:r>
      <w:proofErr w:type="gramEnd"/>
      <w:r>
        <w:t xml:space="preserve"> das decisões</w:t>
      </w:r>
    </w:p>
    <w:p w14:paraId="2C1DEC00" w14:textId="77777777" w:rsidR="00E856F7" w:rsidRDefault="00000000">
      <w:pPr>
        <w:spacing w:after="120" w:line="288" w:lineRule="auto"/>
      </w:pPr>
      <w:r>
        <w:t xml:space="preserve">As vinte e quatro decisões, em uma tabela. As marcadas </w:t>
      </w:r>
      <w:r>
        <w:rPr>
          <w:b/>
          <w:bCs/>
        </w:rPr>
        <w:t>EM ABERTO</w:t>
      </w:r>
      <w:r>
        <w:t xml:space="preserve"> pedem voto específico da CPGP.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50"/>
        <w:gridCol w:w="1850"/>
        <w:gridCol w:w="2922"/>
        <w:gridCol w:w="1250"/>
      </w:tblGrid>
      <w:tr w:rsidR="00E856F7" w14:paraId="4BBE5763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38728" w14:textId="77777777" w:rsidR="00E856F7" w:rsidRDefault="00000000"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>Nº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4C421" w14:textId="77777777" w:rsidR="00E856F7" w:rsidRDefault="00000000"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>Decisão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4DB1D" w14:textId="77777777" w:rsidR="00E856F7" w:rsidRDefault="00000000"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>Item da UFRJ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6B90F" w14:textId="77777777" w:rsidR="00E856F7" w:rsidRDefault="00000000"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>Proposta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63FE7" w14:textId="77777777" w:rsidR="00E856F7" w:rsidRDefault="00000000"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</w:tr>
      <w:tr w:rsidR="00E856F7" w14:paraId="75A86C1D" w14:textId="77777777">
        <w:trPr>
          <w:cantSplit/>
        </w:trPr>
        <w:tc>
          <w:tcPr>
            <w:tcW w:w="9072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B3BF7" w14:textId="77777777" w:rsidR="00E856F7" w:rsidRDefault="00000000">
            <w:r>
              <w:rPr>
                <w:b/>
                <w:bCs/>
                <w:color w:val="1F3A5F"/>
                <w:sz w:val="18"/>
                <w:szCs w:val="18"/>
              </w:rPr>
              <w:t>A. Identidade institucional</w:t>
            </w:r>
          </w:p>
        </w:tc>
      </w:tr>
      <w:tr w:rsidR="00E856F7" w14:paraId="7716DAC4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87843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A998D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Logotipos na capa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18FAF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Anexo A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22822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UFRJ à esquerda, COPPE à direita, só na capa, 2 cm.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A6810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1A20B268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390CE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D2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71590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Nome da instituição na capa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31047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3.1.1; Anexo A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43AE6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Três linhas por extenso; sem sigla.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471DB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70A62E0D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8FD12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D3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18BB6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Lista dos Programas de Pós-graduação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97573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3.1.1; 3.1.2.1.1(e)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B7652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13 Programas; nome em inglês só no abstract.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714D0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Dado próprio</w:t>
            </w:r>
          </w:p>
        </w:tc>
      </w:tr>
      <w:tr w:rsidR="00E856F7" w14:paraId="0841C24D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1954B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D4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93FBB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Identidade institucional sempre em português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EA87A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Manual omisso; art. 57 da Res. CEPG 302/2024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20500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Sempre em português; só título e subtítulo no idioma do trabalho.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678B7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59CFE0C3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7C8D5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D5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06A72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Posição do orientador na folha de rosto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073CC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3.1.2.1.1(f); Anexo B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757E3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Margem esquerda, abaixo da natureza.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38630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5015C404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E8676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D6</w:t>
            </w:r>
          </w:p>
          <w:p w14:paraId="57A92CBD" w14:textId="77777777" w:rsidR="00E856F7" w:rsidRDefault="00000000">
            <w:r>
              <w:rPr>
                <w:b/>
                <w:bCs/>
                <w:color w:val="B45309"/>
                <w:sz w:val="13"/>
                <w:szCs w:val="13"/>
              </w:rPr>
              <w:t>EM ABERTO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640A1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Área de concentração nas folhas de identidade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A1E88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3.1.2.1.1(e); 3.1.2.1.3(c); Anexos B, D e H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20A2B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 xml:space="preserve">Só na folha adicional (segue os Anexos B e D e o modelo do </w:t>
            </w:r>
            <w:proofErr w:type="spellStart"/>
            <w:r>
              <w:rPr>
                <w:color w:val="000000"/>
                <w:sz w:val="17"/>
                <w:szCs w:val="17"/>
              </w:rPr>
              <w:t>SiBI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CE763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1B118E5B" w14:textId="77777777">
        <w:trPr>
          <w:cantSplit/>
        </w:trPr>
        <w:tc>
          <w:tcPr>
            <w:tcW w:w="9072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D9B73" w14:textId="77777777" w:rsidR="00E856F7" w:rsidRDefault="00000000">
            <w:r>
              <w:rPr>
                <w:b/>
                <w:bCs/>
                <w:color w:val="1F3A5F"/>
                <w:sz w:val="18"/>
                <w:szCs w:val="18"/>
              </w:rPr>
              <w:t>B. Idioma e resumos</w:t>
            </w:r>
          </w:p>
        </w:tc>
      </w:tr>
      <w:tr w:rsidR="00E856F7" w14:paraId="5E856E89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EEB0A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D7</w:t>
            </w:r>
          </w:p>
          <w:p w14:paraId="04DB9808" w14:textId="77777777" w:rsidR="00E856F7" w:rsidRDefault="00000000">
            <w:r>
              <w:rPr>
                <w:b/>
                <w:bCs/>
                <w:color w:val="B45309"/>
                <w:sz w:val="13"/>
                <w:szCs w:val="13"/>
              </w:rPr>
              <w:t>EM ABERTO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423A0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Idiomas de redação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79E38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Res. CEPG 302/2024, art. 57; Manual 2.1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DB62B" w14:textId="77777777" w:rsidR="00E856F7" w:rsidRDefault="00000000">
            <w:pPr>
              <w:spacing w:after="10"/>
            </w:pPr>
            <w:proofErr w:type="spellStart"/>
            <w:r>
              <w:rPr>
                <w:color w:val="000000"/>
                <w:sz w:val="17"/>
                <w:szCs w:val="17"/>
              </w:rPr>
              <w:t>Pt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en</w:t>
            </w:r>
            <w:proofErr w:type="spellEnd"/>
            <w:r>
              <w:rPr>
                <w:color w:val="000000"/>
                <w:sz w:val="17"/>
                <w:szCs w:val="17"/>
              </w:rPr>
              <w:t>, es; outro idioma só pelo regulamento do Programa; Apêndices e Anexos livres.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251B5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762B605D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E5942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D8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30A80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Língua estrangeira do resumo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69BF3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3.1.2.1.5; Anexo F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9B61C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Inglês.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C1B2D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1F63F574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CD9E0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D9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F5D96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O terceiro resumo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61D08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3.1.2; 3.1.2.1.4; 3.1.2.1.5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49812" w14:textId="77777777" w:rsidR="00E856F7" w:rsidRDefault="00000000">
            <w:pPr>
              <w:spacing w:after="10"/>
            </w:pPr>
            <w:proofErr w:type="spellStart"/>
            <w:r>
              <w:rPr>
                <w:color w:val="000000"/>
                <w:sz w:val="17"/>
                <w:szCs w:val="17"/>
              </w:rPr>
              <w:t>Pt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e, se for o caso, o idioma do trabalho, nessa ordem.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AAE0D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Acréscimo</w:t>
            </w:r>
          </w:p>
        </w:tc>
      </w:tr>
      <w:tr w:rsidR="00E856F7" w14:paraId="52379DAD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C169D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D10</w:t>
            </w:r>
          </w:p>
          <w:p w14:paraId="288C7D12" w14:textId="77777777" w:rsidR="00E856F7" w:rsidRDefault="00000000">
            <w:r>
              <w:rPr>
                <w:b/>
                <w:bCs/>
                <w:color w:val="B45309"/>
                <w:sz w:val="13"/>
                <w:szCs w:val="13"/>
              </w:rPr>
              <w:t>EM ABERTO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6F4EE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Referência bibliográfica no alto do resumo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F1CB0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 xml:space="preserve">3.1.2.1.4; Anexos E </w:t>
            </w:r>
            <w:proofErr w:type="spellStart"/>
            <w:r>
              <w:rPr>
                <w:color w:val="000000"/>
                <w:sz w:val="17"/>
                <w:szCs w:val="17"/>
              </w:rPr>
              <w:t>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C57B1" w14:textId="75B5CFD8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 xml:space="preserve">Regra, sempre em português; 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CED47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111E15E7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8CA71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D11</w:t>
            </w:r>
          </w:p>
          <w:p w14:paraId="786B2DA9" w14:textId="77777777" w:rsidR="00E856F7" w:rsidRDefault="00000000">
            <w:r>
              <w:rPr>
                <w:b/>
                <w:bCs/>
                <w:color w:val="B45309"/>
                <w:sz w:val="13"/>
                <w:szCs w:val="13"/>
              </w:rPr>
              <w:t>EM ABERTO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399B7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Conteúdo da folha de resumo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CDBEB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 xml:space="preserve">3.1.2.1.4; Anexos E </w:t>
            </w:r>
            <w:proofErr w:type="spellStart"/>
            <w:r>
              <w:rPr>
                <w:color w:val="000000"/>
                <w:sz w:val="17"/>
                <w:szCs w:val="17"/>
              </w:rPr>
              <w:t>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DA96D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 xml:space="preserve">Só o que está nos Anexos E </w:t>
            </w:r>
            <w:proofErr w:type="spellStart"/>
            <w:r>
              <w:rPr>
                <w:color w:val="000000"/>
                <w:sz w:val="17"/>
                <w:szCs w:val="17"/>
              </w:rPr>
              <w:t>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F; sem exceção por Programa.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99962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Reafirmação</w:t>
            </w:r>
          </w:p>
        </w:tc>
      </w:tr>
      <w:tr w:rsidR="00E856F7" w14:paraId="5DF73FAC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AF577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D12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7B90F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Extensão do resumo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364B2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3.1.2.1.4; NBR 6028:2021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AB7E2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Vale o Manual (150 a 500 palavras).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D5448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0698CC6A" w14:textId="77777777">
        <w:trPr>
          <w:cantSplit/>
        </w:trPr>
        <w:tc>
          <w:tcPr>
            <w:tcW w:w="9072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28A84" w14:textId="77777777" w:rsidR="00E856F7" w:rsidRDefault="00000000">
            <w:r>
              <w:rPr>
                <w:b/>
                <w:bCs/>
                <w:color w:val="1F3A5F"/>
                <w:sz w:val="18"/>
                <w:szCs w:val="18"/>
              </w:rPr>
              <w:t>C. Apresentação gráfica</w:t>
            </w:r>
          </w:p>
        </w:tc>
      </w:tr>
      <w:tr w:rsidR="00E856F7" w14:paraId="1F981087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6A5B2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D13</w:t>
            </w:r>
          </w:p>
          <w:p w14:paraId="616F776D" w14:textId="77777777" w:rsidR="00E856F7" w:rsidRDefault="00000000">
            <w:r>
              <w:rPr>
                <w:b/>
                <w:bCs/>
                <w:color w:val="B45309"/>
                <w:sz w:val="13"/>
                <w:szCs w:val="13"/>
              </w:rPr>
              <w:t>EM ABERTO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581AB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Diagramação em folhas, e não em páginas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C3444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2.6; 2.7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E08EA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Em folhas, escrito na Norma.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8EEA5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2BF07DE5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EC3B1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D14</w:t>
            </w:r>
          </w:p>
          <w:p w14:paraId="5C661D10" w14:textId="77777777" w:rsidR="00E856F7" w:rsidRDefault="00000000">
            <w:r>
              <w:rPr>
                <w:b/>
                <w:bCs/>
                <w:color w:val="B45309"/>
                <w:sz w:val="13"/>
                <w:szCs w:val="13"/>
              </w:rPr>
              <w:t>EM ABERTO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5DEC1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Família tipográfica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F7A30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2.2(b)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F68BE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Livre, escrito na Norma.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20AAF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7EBCAD37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A7503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D15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7BE1E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Destaque dos títulos de seção e forma do Sumário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5706C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2.6; 3.1.2.1.6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6ABCF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Destaque do sumário do Manual; alinhamento recomendado vira regra.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A1676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60692996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E1D07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D16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C6DBB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Listas de Quadros, de Programas e de Algoritmos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A971F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3.1.2.2.4; 2.10; 2.11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44139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Listas de Quadros, Programas e Algoritmos.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7140E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Acréscimo</w:t>
            </w:r>
          </w:p>
        </w:tc>
      </w:tr>
      <w:tr w:rsidR="00E856F7" w14:paraId="636D6565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D4ACA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D17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B056B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Identificação e fonte das ilustrações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BB224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2.10; 2.11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DC182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Identificação acima, fonte abaixo, à esquerda.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55513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38ECCAFE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7D1AE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D18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3FDA4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Apêndices e Anexos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6591D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3.1.4.3; 3.1.4.4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593E3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“APÊNDICE A — Título”, igual no Sumário.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749F3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0E963030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43256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D19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BF2B2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Numeração das folhas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A6E67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2.7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A5A29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Repete o 2.7; Introdução não é a folha 1.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18A5F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Reafirmação</w:t>
            </w:r>
          </w:p>
        </w:tc>
      </w:tr>
      <w:tr w:rsidR="00E856F7" w14:paraId="3D33D833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35477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D20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C2776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Citações e referências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27F42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4.1.1.1; 3.1.4.1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8D2F4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Sistema a critério do autor; ABNT nas edições citadas pelo Manual.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1BB87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77CC4D0F" w14:textId="77777777">
        <w:trPr>
          <w:cantSplit/>
        </w:trPr>
        <w:tc>
          <w:tcPr>
            <w:tcW w:w="9072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9F22D" w14:textId="77777777" w:rsidR="00E856F7" w:rsidRDefault="00000000">
            <w:r>
              <w:rPr>
                <w:b/>
                <w:bCs/>
                <w:color w:val="1F3A5F"/>
                <w:sz w:val="18"/>
                <w:szCs w:val="18"/>
              </w:rPr>
              <w:t>D. Entrega, vigência e governança</w:t>
            </w:r>
          </w:p>
        </w:tc>
      </w:tr>
      <w:tr w:rsidR="00E856F7" w14:paraId="14F7B8FF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538CC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D21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0F029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PDF/A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A06B8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2.2(d); Anexo I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0B908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Obrigatório pelo Manual; não é escolha.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728DF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Reafirmação</w:t>
            </w:r>
          </w:p>
        </w:tc>
      </w:tr>
      <w:tr w:rsidR="00E856F7" w14:paraId="0ACE1473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0DB23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D22</w:t>
            </w:r>
          </w:p>
          <w:p w14:paraId="3063B903" w14:textId="77777777" w:rsidR="00E856F7" w:rsidRDefault="00000000">
            <w:r>
              <w:rPr>
                <w:b/>
                <w:bCs/>
                <w:color w:val="B45309"/>
                <w:sz w:val="13"/>
                <w:szCs w:val="13"/>
              </w:rPr>
              <w:t>EM ABERTO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D861F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Quem preenche a folha adicional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F51E5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3.1.2.1.2; Anexo H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570C4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Discente preenche, secretaria confere.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40058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Dado próprio</w:t>
            </w:r>
          </w:p>
        </w:tc>
      </w:tr>
      <w:tr w:rsidR="00E856F7" w14:paraId="5084972D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34982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D23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7CFDF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Implementação de referência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EA170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Manual omisso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4103F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 xml:space="preserve">Classe </w:t>
            </w:r>
            <w:proofErr w:type="spellStart"/>
            <w:r>
              <w:rPr>
                <w:color w:val="000000"/>
                <w:sz w:val="17"/>
                <w:szCs w:val="17"/>
              </w:rPr>
              <w:t>ufrj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ufrj-coppe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5.x, sem obrigatoriedade.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FEA1A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  <w:tr w:rsidR="00E856F7" w14:paraId="798FF09B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867E0" w14:textId="77777777" w:rsidR="00E856F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D24</w:t>
            </w:r>
          </w:p>
          <w:p w14:paraId="1CA5BDA4" w14:textId="77777777" w:rsidR="00E856F7" w:rsidRDefault="00000000">
            <w:r>
              <w:rPr>
                <w:b/>
                <w:bCs/>
                <w:color w:val="B45309"/>
                <w:sz w:val="13"/>
                <w:szCs w:val="13"/>
              </w:rPr>
              <w:t>EM ABERTO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8F813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Vigência e transição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1ACEB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Manual omisso</w:t>
            </w:r>
          </w:p>
        </w:tc>
        <w:tc>
          <w:tcPr>
            <w:tcW w:w="2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3A02A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Data futura (90 dias); o que vem da UFRJ já vale.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1E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46192" w14:textId="77777777" w:rsidR="00E856F7" w:rsidRDefault="00000000">
            <w:pPr>
              <w:spacing w:after="10"/>
            </w:pPr>
            <w:r>
              <w:rPr>
                <w:color w:val="000000"/>
                <w:sz w:val="17"/>
                <w:szCs w:val="17"/>
              </w:rPr>
              <w:t>Escolha</w:t>
            </w:r>
          </w:p>
        </w:tc>
      </w:tr>
    </w:tbl>
    <w:p w14:paraId="220E70F5" w14:textId="77777777" w:rsidR="00E856F7" w:rsidRDefault="00000000">
      <w:r>
        <w:br w:type="page"/>
      </w:r>
    </w:p>
    <w:p w14:paraId="1F102A38" w14:textId="77777777" w:rsidR="00E856F7" w:rsidRDefault="00000000">
      <w:pPr>
        <w:pStyle w:val="Heading1"/>
      </w:pPr>
      <w:proofErr w:type="gramStart"/>
      <w:r>
        <w:lastRenderedPageBreak/>
        <w:t>3  As</w:t>
      </w:r>
      <w:proofErr w:type="gramEnd"/>
      <w:r>
        <w:t xml:space="preserve"> decisões, uma a uma</w:t>
      </w:r>
    </w:p>
    <w:p w14:paraId="4A305732" w14:textId="77777777" w:rsidR="00E856F7" w:rsidRDefault="00000000">
      <w:pPr>
        <w:pStyle w:val="Heading2"/>
      </w:pPr>
      <w:proofErr w:type="gramStart"/>
      <w:r>
        <w:t>A  Identidade</w:t>
      </w:r>
      <w:proofErr w:type="gramEnd"/>
      <w:r>
        <w:t xml:space="preserve"> institucional</w:t>
      </w:r>
    </w:p>
    <w:p w14:paraId="3B8E037D" w14:textId="77777777" w:rsidR="00E856F7" w:rsidRDefault="00000000">
      <w:pPr>
        <w:pStyle w:val="Heading3"/>
        <w:keepNext/>
      </w:pPr>
      <w:r>
        <w:t>D</w:t>
      </w:r>
      <w:proofErr w:type="gramStart"/>
      <w:r>
        <w:t>1  Logotipos</w:t>
      </w:r>
      <w:proofErr w:type="gramEnd"/>
      <w:r>
        <w:t xml:space="preserve"> na capa</w:t>
      </w:r>
    </w:p>
    <w:p w14:paraId="5228A295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Anexo A</w:t>
      </w:r>
    </w:p>
    <w:p w14:paraId="7BF2159A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1133AF3B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“Logo da UFRJ (Opcional) · Logo do Programa (Opcional)”</w:t>
      </w:r>
    </w:p>
    <w:p w14:paraId="06D62EB2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Anexo A — Sugestão de capa</w:t>
      </w:r>
    </w:p>
    <w:p w14:paraId="61CA2858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237AB553" w14:textId="77777777" w:rsidR="00E856F7" w:rsidRDefault="00000000">
      <w:pPr>
        <w:spacing w:after="120" w:line="288" w:lineRule="auto"/>
      </w:pPr>
      <w:r>
        <w:t xml:space="preserve">O Manual sugere dois logotipos no alto da capa e marca </w:t>
      </w:r>
      <w:r>
        <w:rPr>
          <w:b/>
          <w:bCs/>
        </w:rPr>
        <w:t>os dois como opcionais</w:t>
      </w:r>
      <w:r>
        <w:t>. Cabe à COPPE dizer se os usa, quais e onde.</w:t>
      </w:r>
    </w:p>
    <w:p w14:paraId="358B0692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3187EB94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Nenhum logotipo (o Manual permite).</w:t>
      </w:r>
    </w:p>
    <w:p w14:paraId="46654CC1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Logotipo da UFRJ e o de cada Programa, como no Anexo A.</w:t>
      </w:r>
    </w:p>
    <w:p w14:paraId="373E6699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(c)  </w:t>
      </w:r>
      <w:r>
        <w:t xml:space="preserve">Logotipo da UFRJ à esquerda e o da </w:t>
      </w:r>
      <w:r>
        <w:rPr>
          <w:b/>
          <w:bCs/>
        </w:rPr>
        <w:t>COPPE</w:t>
      </w:r>
      <w:r>
        <w:t xml:space="preserve"> à direita, no lugar do logotipo do Programa.</w:t>
      </w:r>
    </w:p>
    <w:p w14:paraId="6FF2D74B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07227BA7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23A3EAC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1F833204" w14:textId="77777777" w:rsidR="00E856F7" w:rsidRDefault="00000000">
            <w:pPr>
              <w:spacing w:after="80" w:line="276" w:lineRule="auto"/>
            </w:pPr>
            <w:r>
              <w:t xml:space="preserve">Alternativa (c). Os dois logotipos figuram </w:t>
            </w:r>
            <w:r>
              <w:rPr>
                <w:b/>
                <w:bCs/>
              </w:rPr>
              <w:t>só na capa</w:t>
            </w:r>
            <w:r>
              <w:t>, na mesma linha, com 2 cm de altura; nenhum outro é admitido — nem de Programa, nem de laboratório, nem de agência de fomento.</w:t>
            </w:r>
          </w:p>
        </w:tc>
      </w:tr>
    </w:tbl>
    <w:p w14:paraId="50EE71FC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6697B2DA" w14:textId="77777777" w:rsidR="00E856F7" w:rsidRDefault="00000000">
      <w:pPr>
        <w:spacing w:after="120" w:line="288" w:lineRule="auto"/>
      </w:pPr>
      <w:r>
        <w:t>Nem todo Programa tem logotipo próprio, e a COPPE tem um logotipo unificado, comum a todos. Usá-lo dá a mesma capa a todos os Programas.</w:t>
      </w:r>
    </w:p>
    <w:p w14:paraId="64B53B05" w14:textId="77777777" w:rsidR="00E856F7" w:rsidRDefault="00000000">
      <w:pPr>
        <w:spacing w:after="120" w:line="288" w:lineRule="auto"/>
      </w:pPr>
      <w:r>
        <w:t xml:space="preserve">A folha de rosto fica sem imagem porque o Anexo B do Manual e o modelo de folha de rosto do </w:t>
      </w:r>
      <w:proofErr w:type="spellStart"/>
      <w:r>
        <w:t>SiBI</w:t>
      </w:r>
      <w:proofErr w:type="spellEnd"/>
      <w:r>
        <w:t xml:space="preserve"> não trazem nenhuma. O vínculo com a agência de fomento é declarado na folha adicional da Coleta CAPES, e não com logotipo.</w:t>
      </w:r>
    </w:p>
    <w:p w14:paraId="17A62941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Quem traz logotipo na folha de rosto, ou o logotipo do laboratório na capa, precisa retirá-lo.</w:t>
      </w:r>
    </w:p>
    <w:p w14:paraId="5C894E72" w14:textId="77777777" w:rsidR="00E856F7" w:rsidRDefault="00000000">
      <w:pPr>
        <w:pStyle w:val="Heading3"/>
        <w:keepNext/>
      </w:pPr>
      <w:r>
        <w:t>D</w:t>
      </w:r>
      <w:proofErr w:type="gramStart"/>
      <w:r>
        <w:t>2  Nome</w:t>
      </w:r>
      <w:proofErr w:type="gramEnd"/>
      <w:r>
        <w:t xml:space="preserve"> da instituição na capa</w:t>
      </w:r>
    </w:p>
    <w:p w14:paraId="1A934F39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3.1.1; Anexo A</w:t>
      </w:r>
    </w:p>
    <w:p w14:paraId="2052EF16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28AAED5E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“Devem constar as seguintes informações, dispostas na ordem apresentada: nome da instituição; nome completo do autor; título; […]”</w:t>
      </w:r>
    </w:p>
    <w:p w14:paraId="406108D7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3.1.1 — Capa</w:t>
      </w:r>
    </w:p>
    <w:p w14:paraId="659CE3D7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4EDD90BD" w14:textId="77777777" w:rsidR="00E856F7" w:rsidRDefault="00000000">
      <w:pPr>
        <w:spacing w:after="120" w:line="288" w:lineRule="auto"/>
      </w:pPr>
      <w:r>
        <w:t>O Manual pede o “nome da instituição” sem dizer em quantos níveis. O Anexo A mostra três (Universidade, unidade, Programa), com o nome da unidade por extenso.</w:t>
      </w:r>
    </w:p>
    <w:p w14:paraId="25067023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0308C184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Só “Universidade Federal do Rio de Janeiro”.</w:t>
      </w:r>
    </w:p>
    <w:p w14:paraId="01F48D6B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Universidade e “COPPE/UFRJ” (sigla).</w:t>
      </w:r>
    </w:p>
    <w:p w14:paraId="1DE1F8A6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lastRenderedPageBreak/>
        <w:t xml:space="preserve">(c)  </w:t>
      </w:r>
      <w:r>
        <w:t>Três linhas, por extenso: Universidade; Instituto Alberto Luiz Coimbra de Pós-Graduação e Pesquisa de Engenharia; Programa.</w:t>
      </w:r>
    </w:p>
    <w:p w14:paraId="010CBA51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3A6BB071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054623B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2049631A" w14:textId="77777777" w:rsidR="00E856F7" w:rsidRDefault="00000000">
            <w:pPr>
              <w:spacing w:after="80" w:line="276" w:lineRule="auto"/>
            </w:pPr>
            <w:r>
              <w:t xml:space="preserve">Alternativa (c), </w:t>
            </w:r>
            <w:r>
              <w:rPr>
                <w:b/>
                <w:bCs/>
              </w:rPr>
              <w:t>sem sigla</w:t>
            </w:r>
            <w:r>
              <w:t xml:space="preserve"> na segunda linha. A frase da natureza, na folha de rosto, também traz o nome do Instituto por extenso.</w:t>
            </w:r>
          </w:p>
        </w:tc>
      </w:tr>
    </w:tbl>
    <w:p w14:paraId="505CAA47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0DFD4DB9" w14:textId="77777777" w:rsidR="00E856F7" w:rsidRDefault="00000000">
      <w:pPr>
        <w:spacing w:after="120" w:line="288" w:lineRule="auto"/>
      </w:pPr>
      <w:r>
        <w:t>É o que o Anexo A mostra (“ESCOLA DE BELAS ARTES”, por extenso). A sigla COPPE não se perde: está no logotipo, no alto da mesma folha.</w:t>
      </w:r>
    </w:p>
    <w:p w14:paraId="499B6336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 para o autor que usa a implementação de referência: as três linhas saem do código do Programa.</w:t>
      </w:r>
    </w:p>
    <w:p w14:paraId="6939E083" w14:textId="77777777" w:rsidR="00E856F7" w:rsidRDefault="00000000">
      <w:pPr>
        <w:pStyle w:val="Heading3"/>
        <w:keepNext/>
      </w:pPr>
      <w:r>
        <w:t>D</w:t>
      </w:r>
      <w:proofErr w:type="gramStart"/>
      <w:r>
        <w:t>3  Lista</w:t>
      </w:r>
      <w:proofErr w:type="gramEnd"/>
      <w:r>
        <w:t xml:space="preserve"> dos Programas de Pós-graduação</w:t>
      </w:r>
    </w:p>
    <w:p w14:paraId="6C66EFE2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Dado próprio</w:t>
      </w:r>
      <w:r>
        <w:rPr>
          <w:color w:val="595959"/>
          <w:sz w:val="17"/>
          <w:szCs w:val="17"/>
        </w:rPr>
        <w:t xml:space="preserve">   ·   3.1.1; 3.1.2.1.1(e)</w:t>
      </w:r>
    </w:p>
    <w:p w14:paraId="440D9954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58BFF877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“natureza do trabalho […] e objetivo (grau pretendido […]), nome da instituição a que é submetido o trabalho e a área de concentração”</w:t>
      </w:r>
    </w:p>
    <w:p w14:paraId="57ABDBF9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3.1.2.1.1(e)</w:t>
      </w:r>
    </w:p>
    <w:p w14:paraId="7722CB20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0CD78B81" w14:textId="77777777" w:rsidR="00E856F7" w:rsidRDefault="00000000">
      <w:pPr>
        <w:spacing w:after="120" w:line="288" w:lineRule="auto"/>
      </w:pPr>
      <w:r>
        <w:t>O Manual pede o nome do Programa; a lista e a forma do nome são da COPPE.</w:t>
      </w:r>
    </w:p>
    <w:p w14:paraId="440F9786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354F8419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534CA58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75436390" w14:textId="77777777" w:rsidR="00E856F7" w:rsidRDefault="00000000">
            <w:pPr>
              <w:spacing w:after="80" w:line="276" w:lineRule="auto"/>
            </w:pPr>
            <w:r>
              <w:t xml:space="preserve">Os treze Programas, na forma “Programa de Engenharia de…” (PEB, PEC, PEE, PEM, PEMM, PEN, PENO, PENT, PEP, PEQ, PESC, PET, PPE), com o nome em inglês usado </w:t>
            </w:r>
            <w:r>
              <w:rPr>
                <w:b/>
                <w:bCs/>
              </w:rPr>
              <w:t>apenas</w:t>
            </w:r>
            <w:r>
              <w:t xml:space="preserve"> na página do </w:t>
            </w:r>
            <w:r>
              <w:rPr>
                <w:i/>
                <w:iCs/>
              </w:rPr>
              <w:t>abstract</w:t>
            </w:r>
            <w:r>
              <w:t>. A lista completa está na Seção 3 da Norma.</w:t>
            </w:r>
          </w:p>
        </w:tc>
      </w:tr>
    </w:tbl>
    <w:p w14:paraId="468B856E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718A9856" w14:textId="77777777" w:rsidR="00E856F7" w:rsidRDefault="00000000">
      <w:pPr>
        <w:spacing w:after="120" w:line="288" w:lineRule="auto"/>
      </w:pPr>
      <w:r>
        <w:t>O nome em inglês só aparece onde o Manual já prevê texto em língua estrangeira; em toda a identidade institucional o nome fica em português (D4).</w:t>
      </w:r>
    </w:p>
    <w:p w14:paraId="6D03111A" w14:textId="77777777" w:rsidR="00E856F7" w:rsidRDefault="00000000">
      <w:pPr>
        <w:spacing w:after="120" w:line="288" w:lineRule="auto"/>
      </w:pPr>
      <w:r>
        <w:t>Criar, extinguir ou renomear Programa é ato administrativo, não decisão gráfica. Por isso a minuta (art. 7.º) permite atualizar a lista por comunicação da Direção, sem nova deliberação.</w:t>
      </w:r>
    </w:p>
    <w:p w14:paraId="29B40802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Nenhum.</w:t>
      </w:r>
    </w:p>
    <w:p w14:paraId="7AA40E6A" w14:textId="77777777" w:rsidR="00E856F7" w:rsidRDefault="00000000">
      <w:pPr>
        <w:pStyle w:val="Heading3"/>
        <w:keepNext/>
      </w:pPr>
      <w:r>
        <w:t>D</w:t>
      </w:r>
      <w:proofErr w:type="gramStart"/>
      <w:r>
        <w:t>4  Identidade</w:t>
      </w:r>
      <w:proofErr w:type="gramEnd"/>
      <w:r>
        <w:t xml:space="preserve"> institucional sempre em português</w:t>
      </w:r>
    </w:p>
    <w:p w14:paraId="02C9E29C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Manual omisso; art. 57 da Res. CEPG 302/2024</w:t>
      </w:r>
    </w:p>
    <w:p w14:paraId="160735F1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2DAD2C08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“A dissertação ou a tese poderá ser redigida em português, ou em inglês, ou em espanhol […]”</w:t>
      </w:r>
    </w:p>
    <w:p w14:paraId="677EF257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Res. CEPG n. 302/2024, art. 57, caput</w:t>
      </w:r>
    </w:p>
    <w:p w14:paraId="0C23DFBB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574AC087" w14:textId="77777777" w:rsidR="00E856F7" w:rsidRDefault="00000000">
      <w:pPr>
        <w:spacing w:after="120" w:line="288" w:lineRule="auto"/>
      </w:pPr>
      <w:r>
        <w:t>A UFRJ admite trabalhos em três idiomas, mas o Manual só mostra exemplos em português e não diz o que acontece com a capa, a folha de rosto e a folha de aprovação de um trabalho em inglês ou espanhol.</w:t>
      </w:r>
    </w:p>
    <w:p w14:paraId="69C8F2B4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5D13C04D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Tudo no idioma do trabalho, inclusive o nome da Universidade e do Programa.</w:t>
      </w:r>
    </w:p>
    <w:p w14:paraId="59C52CCD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lastRenderedPageBreak/>
        <w:t xml:space="preserve">(b)  </w:t>
      </w:r>
      <w:r>
        <w:t>Identidade institucional sempre em português; só o título e o subtítulo acompanham o idioma do trabalho.</w:t>
      </w:r>
    </w:p>
    <w:p w14:paraId="7C54A4B6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39170FA9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63FDE11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6B370711" w14:textId="77777777" w:rsidR="00E856F7" w:rsidRDefault="00000000">
            <w:pPr>
              <w:spacing w:after="80" w:line="276" w:lineRule="auto"/>
            </w:pPr>
            <w:r>
              <w:t>Alternativa (b). Nome da Universidade, do Instituto e do Programa, cidade, estado e país, natureza e objetivo — tudo em português, em capa, folha de rosto e folha de aprovação, qualquer que seja o idioma do trabalho.</w:t>
            </w:r>
          </w:p>
        </w:tc>
      </w:tr>
    </w:tbl>
    <w:p w14:paraId="44C0A33B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2D42EA4C" w14:textId="77777777" w:rsidR="00E856F7" w:rsidRDefault="00000000">
      <w:pPr>
        <w:spacing w:after="120" w:line="288" w:lineRule="auto"/>
      </w:pPr>
      <w:r>
        <w:t>Essas folhas identificam o documento para a Universidade, para a biblioteca e para a CAPES, e são lidas por quem cataloga, não por quem lê a tese. Traduzir o nome da instituição cria formas que não existem oficialmente.</w:t>
      </w:r>
    </w:p>
    <w:p w14:paraId="7B23339B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Um trabalho em inglês tem a capa em português, com o título em inglês.</w:t>
      </w:r>
    </w:p>
    <w:p w14:paraId="107FC4E3" w14:textId="77777777" w:rsidR="00E856F7" w:rsidRDefault="00000000">
      <w:pPr>
        <w:pStyle w:val="Heading3"/>
        <w:keepNext/>
      </w:pPr>
      <w:r>
        <w:t>D</w:t>
      </w:r>
      <w:proofErr w:type="gramStart"/>
      <w:r>
        <w:t>5  Posição</w:t>
      </w:r>
      <w:proofErr w:type="gramEnd"/>
      <w:r>
        <w:t xml:space="preserve"> do orientador na folha de rosto</w:t>
      </w:r>
    </w:p>
    <w:p w14:paraId="10B0EA72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3.1.2.1.1(f); Anexo B</w:t>
      </w:r>
    </w:p>
    <w:p w14:paraId="6E1ED0CF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2F3D7449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“orientador e, se houver, coorientador; local da instituição que o trabalho vai ser apresentado”</w:t>
      </w:r>
    </w:p>
    <w:p w14:paraId="63A2DB53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3.1.2.1.1(f)</w:t>
      </w:r>
    </w:p>
    <w:p w14:paraId="79C4F1F0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13828EE2" w14:textId="77777777" w:rsidR="00E856F7" w:rsidRDefault="00000000">
      <w:pPr>
        <w:spacing w:after="120" w:line="288" w:lineRule="auto"/>
      </w:pPr>
      <w:r>
        <w:t>O Manual exige o nome, mas não fixa a posição.</w:t>
      </w:r>
    </w:p>
    <w:p w14:paraId="12B02FF9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0C2D1BF5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Dentro do bloco da natureza, recuado do meio da mancha à margem direita.</w:t>
      </w:r>
    </w:p>
    <w:p w14:paraId="399637D5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Alinhado à margem esquerda, abaixo do bloco da natureza.</w:t>
      </w:r>
    </w:p>
    <w:p w14:paraId="52E8B833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782736FF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4EF63DA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2ED68E8B" w14:textId="12ECBB79" w:rsidR="00E856F7" w:rsidRDefault="00000000">
            <w:pPr>
              <w:spacing w:after="80" w:line="276" w:lineRule="auto"/>
            </w:pPr>
            <w:r>
              <w:t>Alternativa (b): orientador</w:t>
            </w:r>
            <w:r w:rsidR="00734A76">
              <w:t>es</w:t>
            </w:r>
            <w:r>
              <w:t xml:space="preserve"> alinhados à margem esquerda, </w:t>
            </w:r>
            <w:r w:rsidR="00734A76">
              <w:t xml:space="preserve">não há </w:t>
            </w:r>
            <w:proofErr w:type="spellStart"/>
            <w:r w:rsidR="00734A76">
              <w:t>co-orientador</w:t>
            </w:r>
            <w:proofErr w:type="spellEnd"/>
            <w:r>
              <w:t>.</w:t>
            </w:r>
          </w:p>
        </w:tc>
      </w:tr>
    </w:tbl>
    <w:p w14:paraId="1375BFF0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275111DC" w14:textId="77777777" w:rsidR="00E856F7" w:rsidRDefault="00000000">
      <w:pPr>
        <w:spacing w:after="120" w:line="288" w:lineRule="auto"/>
      </w:pPr>
      <w:r>
        <w:t>É a posição do “Orientador:” no Anexo B do Manual.</w:t>
      </w:r>
    </w:p>
    <w:p w14:paraId="6C26FD2F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 para o autor.</w:t>
      </w:r>
    </w:p>
    <w:p w14:paraId="2ECBF33B" w14:textId="77777777" w:rsidR="00E856F7" w:rsidRDefault="00000000">
      <w:pPr>
        <w:pStyle w:val="Heading3"/>
        <w:keepNext/>
      </w:pPr>
      <w:r>
        <w:t>D</w:t>
      </w:r>
      <w:proofErr w:type="gramStart"/>
      <w:r>
        <w:t>6  Área</w:t>
      </w:r>
      <w:proofErr w:type="gramEnd"/>
      <w:r>
        <w:t xml:space="preserve"> de concentração nas folhas de identidade</w:t>
      </w:r>
    </w:p>
    <w:p w14:paraId="613EDB59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3.1.2.1.1(e); 3.1.2.1.3(c); Anexos B, D e H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 w14:paraId="4371D905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019F800B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“natureza do trabalho […], nome da instituição a que é submetido o trabalho e a área de concentração”</w:t>
      </w:r>
    </w:p>
    <w:p w14:paraId="5EFFD6B3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3.1.2.1.1(e) — Folha de rosto</w:t>
      </w:r>
    </w:p>
    <w:p w14:paraId="17DC6D6B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</w:t>
      </w:r>
      <w:proofErr w:type="spellStart"/>
      <w:r>
        <w:rPr>
          <w:i/>
          <w:iCs/>
          <w:color w:val="333333"/>
          <w:sz w:val="20"/>
          <w:szCs w:val="20"/>
        </w:rPr>
        <w:t>a</w:t>
      </w:r>
      <w:proofErr w:type="spellEnd"/>
      <w:r>
        <w:rPr>
          <w:i/>
          <w:iCs/>
          <w:color w:val="333333"/>
          <w:sz w:val="20"/>
          <w:szCs w:val="20"/>
        </w:rPr>
        <w:t xml:space="preserve"> natureza, o objetivo, o nome da instituição a que é submetido e a área de concentração”</w:t>
      </w:r>
    </w:p>
    <w:p w14:paraId="7E5E5F62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3.1.2.1.3(c) — Folha de aprovação</w:t>
      </w:r>
    </w:p>
    <w:p w14:paraId="057E37AE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562AB21A" w14:textId="77777777" w:rsidR="00E856F7" w:rsidRDefault="00000000">
      <w:pPr>
        <w:spacing w:after="120" w:line="288" w:lineRule="auto"/>
      </w:pPr>
      <w:r>
        <w:t xml:space="preserve">Aqui </w:t>
      </w:r>
      <w:r>
        <w:rPr>
          <w:b/>
          <w:bCs/>
        </w:rPr>
        <w:t>o Manual se contradiz</w:t>
      </w:r>
      <w:r>
        <w:t xml:space="preserve">. O texto põe a área de concentração na folha de rosto e na folha de aprovação; os exemplos (Anexos B e D) e o modelo que o </w:t>
      </w:r>
      <w:proofErr w:type="spellStart"/>
      <w:r>
        <w:t>SiBI</w:t>
      </w:r>
      <w:proofErr w:type="spellEnd"/>
      <w:r>
        <w:t xml:space="preserve"> distribui encerram o bloco da natureza no grau pretendido e </w:t>
      </w:r>
      <w:r>
        <w:rPr>
          <w:b/>
          <w:bCs/>
        </w:rPr>
        <w:t>não a mostram</w:t>
      </w:r>
      <w:r>
        <w:t xml:space="preserve">. A área de concentração aparece, isso sim, como </w:t>
      </w:r>
      <w:r>
        <w:lastRenderedPageBreak/>
        <w:t>campo obrigatório da folha adicional da Coleta CAPES (Anexo H). A COPPE precisa dizer qual das duas leituras segue.</w:t>
      </w:r>
    </w:p>
    <w:p w14:paraId="3EFF6982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677F86CD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 xml:space="preserve">Seguir o texto: área de concentração na folha de rosto, na folha de aprovação </w:t>
      </w:r>
      <w:r>
        <w:rPr>
          <w:b/>
          <w:bCs/>
        </w:rPr>
        <w:t>e</w:t>
      </w:r>
      <w:r>
        <w:t xml:space="preserve"> na folha adicional.</w:t>
      </w:r>
    </w:p>
    <w:p w14:paraId="226359DD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 xml:space="preserve">Seguir os exemplos e o modelo do </w:t>
      </w:r>
      <w:proofErr w:type="spellStart"/>
      <w:r>
        <w:t>SiBI</w:t>
      </w:r>
      <w:proofErr w:type="spellEnd"/>
      <w:r>
        <w:t xml:space="preserve">: área de concentração </w:t>
      </w:r>
      <w:r>
        <w:rPr>
          <w:b/>
          <w:bCs/>
        </w:rPr>
        <w:t>só na folha adicional</w:t>
      </w:r>
      <w:r>
        <w:t>.</w:t>
      </w:r>
    </w:p>
    <w:p w14:paraId="587B42A2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287AE0D7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DF1E3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BB82868" w14:textId="77777777" w:rsidR="00E856F7" w:rsidRDefault="00000000"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>PROPOSTA</w:t>
            </w:r>
          </w:p>
          <w:p w14:paraId="32F2D24F" w14:textId="77777777" w:rsidR="00E856F7" w:rsidRDefault="00000000">
            <w:pPr>
              <w:spacing w:after="80" w:line="276" w:lineRule="auto"/>
            </w:pPr>
            <w:r>
              <w:t xml:space="preserve">Alternativa (b), que é a da Norma: o modelo do </w:t>
            </w:r>
            <w:proofErr w:type="spellStart"/>
            <w:r>
              <w:t>SiBI</w:t>
            </w:r>
            <w:proofErr w:type="spellEnd"/>
            <w:r>
              <w:t xml:space="preserve"> vale como errata sobre os exemplos do Manual, e a informação não se perde, porque a folha adicional a exige.</w:t>
            </w:r>
          </w:p>
        </w:tc>
      </w:tr>
    </w:tbl>
    <w:p w14:paraId="0D105E2B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47F944BA" w14:textId="77777777" w:rsidR="00E856F7" w:rsidRDefault="00000000">
      <w:pPr>
        <w:spacing w:after="120" w:line="288" w:lineRule="auto"/>
      </w:pPr>
      <w:r>
        <w:t>A Norma adota como método, onde o Manual é ambíguo, ficar com o que os exemplos e o modelo mostram. Seguir o texto aqui seria abrir uma exceção a esse método.</w:t>
      </w:r>
    </w:p>
    <w:p w14:paraId="40CE7ABF" w14:textId="77777777" w:rsidR="00E856F7" w:rsidRDefault="00000000">
      <w:pPr>
        <w:spacing w:after="120" w:line="288" w:lineRule="auto"/>
      </w:pPr>
      <w:r>
        <w:t>A decisão é reversível sem custo: a implementação de referência tem uma opção (</w:t>
      </w:r>
      <w:proofErr w:type="spellStart"/>
      <w:r>
        <w:rPr>
          <w:rFonts w:ascii="Consolas" w:eastAsia="Consolas" w:hAnsi="Consolas" w:cs="Consolas"/>
          <w:sz w:val="20"/>
          <w:szCs w:val="20"/>
        </w:rPr>
        <w:t>areanafolhaderosto</w:t>
      </w:r>
      <w:proofErr w:type="spellEnd"/>
      <w:r>
        <w:t>) que devolve a área de concentração às duas folhas. Se a CPGP preferir (a), basta torná-la padrão.</w:t>
      </w:r>
    </w:p>
    <w:p w14:paraId="4C47CFCC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Nenhum: o dado é informado de qualquer jeito, porque a folha adicional o exige.</w:t>
      </w:r>
    </w:p>
    <w:p w14:paraId="79FB99DA" w14:textId="77777777" w:rsidR="00E856F7" w:rsidRDefault="00000000">
      <w:pPr>
        <w:pStyle w:val="Heading2"/>
        <w:pageBreakBefore/>
      </w:pPr>
      <w:proofErr w:type="gramStart"/>
      <w:r>
        <w:lastRenderedPageBreak/>
        <w:t>B  Idioma</w:t>
      </w:r>
      <w:proofErr w:type="gramEnd"/>
      <w:r>
        <w:t xml:space="preserve"> e resumos</w:t>
      </w:r>
    </w:p>
    <w:p w14:paraId="444A2ABE" w14:textId="77777777" w:rsidR="00E856F7" w:rsidRDefault="00000000">
      <w:pPr>
        <w:pStyle w:val="Heading3"/>
        <w:keepNext/>
      </w:pPr>
      <w:r>
        <w:t>D</w:t>
      </w:r>
      <w:proofErr w:type="gramStart"/>
      <w:r>
        <w:t>7  Idiomas</w:t>
      </w:r>
      <w:proofErr w:type="gramEnd"/>
      <w:r>
        <w:t xml:space="preserve"> de redação</w:t>
      </w:r>
    </w:p>
    <w:p w14:paraId="6C56A040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Res. CEPG 302/2024, art. 57; Manual 2.1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 w14:paraId="524EA04C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2D6876ED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“A dissertação ou a tese poderá ser redigida em português, ou em inglês, ou em espanhol, podendo a parte pós-textual ser redigida em outras línguas.”</w:t>
      </w:r>
    </w:p>
    <w:p w14:paraId="1BA72A7B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Res. CEPG n. 302/2024, art. 57, caput</w:t>
      </w:r>
    </w:p>
    <w:p w14:paraId="771575FD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“O Regulamento ou resolução específica do PPG deverá estabelecer demais línguas para a redação da dissertação ou tese.”</w:t>
      </w:r>
    </w:p>
    <w:p w14:paraId="0D5C6BCA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Res. CEPG n. 302/2024, art. 57, § 1.º</w:t>
      </w:r>
    </w:p>
    <w:p w14:paraId="2D9FE80B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“A redação da dissertação ou tese em outra língua, que não as previstas no Regulamento […] deverá ser acompanhada de versão traduzida em português.”</w:t>
      </w:r>
    </w:p>
    <w:p w14:paraId="6A95C8A8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Res. CEPG n. 302/2024, art. 57, § 2.º</w:t>
      </w:r>
    </w:p>
    <w:p w14:paraId="0F3FCCFF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1DA7FEB2" w14:textId="77777777" w:rsidR="00E856F7" w:rsidRDefault="00000000">
      <w:pPr>
        <w:spacing w:after="120" w:line="288" w:lineRule="auto"/>
      </w:pPr>
      <w:r>
        <w:t xml:space="preserve">A Resolução fixa três idiomas, mas </w:t>
      </w:r>
      <w:r>
        <w:rPr>
          <w:b/>
          <w:bCs/>
        </w:rPr>
        <w:t>devolve ao regulamento de cada Programa</w:t>
      </w:r>
      <w:r>
        <w:t xml:space="preserve"> a decisão sobre outros (§ 1.º) e admite a parte pós-textual em qualquer língua. A Norma, na redação atual da Seção 9, diz que “não há na UFRJ respaldo normativo para outros” — o que não é exato: o respaldo existe, e a decisão é do regulamento do Programa.</w:t>
      </w:r>
    </w:p>
    <w:p w14:paraId="50E2C502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26ACCF78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Só português, inglês e espanhol em toda a COPPE, e a Norma não trata de outros idiomas.</w:t>
      </w:r>
    </w:p>
    <w:p w14:paraId="4E9FFE18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Português, inglês e espanhol como regra; outro idioma só quando o regulamento do Programa o admitir, com a versão traduzida em português exigida pelo § 2.º.</w:t>
      </w:r>
    </w:p>
    <w:p w14:paraId="6AE3ADD7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(c)  </w:t>
      </w:r>
      <w:r>
        <w:t>Restringir, por exemplo, a português e inglês.</w:t>
      </w:r>
    </w:p>
    <w:p w14:paraId="3B910A1E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7F4DA091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DF1E3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63DE1DC" w14:textId="77777777" w:rsidR="00E856F7" w:rsidRDefault="00000000"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>PROPOSTA</w:t>
            </w:r>
          </w:p>
          <w:p w14:paraId="4F0EA145" w14:textId="77777777" w:rsidR="00E856F7" w:rsidRDefault="00000000">
            <w:pPr>
              <w:spacing w:after="80" w:line="276" w:lineRule="auto"/>
            </w:pPr>
            <w:r>
              <w:t>Alternativa (b). A Norma diz quais são os três idiomas da Resolução e acrescenta que outro idioma depende do regulamento do Programa, nos termos do § 1.º; e diz expressamente que Apêndices e Anexos podem estar em outra língua. A Seção 9 da Norma deve ser corrigida nesse sentido.</w:t>
            </w:r>
          </w:p>
        </w:tc>
      </w:tr>
    </w:tbl>
    <w:p w14:paraId="6015C5F9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3E58BF7E" w14:textId="77777777" w:rsidR="00E856F7" w:rsidRDefault="00000000">
      <w:pPr>
        <w:spacing w:after="120" w:line="288" w:lineRule="auto"/>
      </w:pPr>
      <w:r>
        <w:t>A Norma Gráfica não pode retirar dos Programas uma competência que a Resolução CEPG lhes dá. Pode, no máximo, fixar a forma gráfica do caso.</w:t>
      </w:r>
    </w:p>
    <w:p w14:paraId="6DB71D09" w14:textId="77777777" w:rsidR="00E856F7" w:rsidRDefault="00000000">
      <w:pPr>
        <w:spacing w:after="120" w:line="288" w:lineRule="auto"/>
      </w:pPr>
      <w:r>
        <w:t>A alternativa (c) contraria o caput do art. 57, que garante o espanhol a qualquer discente.</w:t>
      </w:r>
    </w:p>
    <w:p w14:paraId="24E1E16D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 hoje: nenhum Programa admite, que se saiba, um quarto idioma. A regra fica pronta para quando algum admitir.</w:t>
      </w:r>
    </w:p>
    <w:p w14:paraId="0891CF85" w14:textId="77777777" w:rsidR="00E856F7" w:rsidRDefault="00000000">
      <w:pPr>
        <w:pStyle w:val="Heading3"/>
        <w:keepNext/>
      </w:pPr>
      <w:r>
        <w:t>D</w:t>
      </w:r>
      <w:proofErr w:type="gramStart"/>
      <w:r>
        <w:t>8  Língua</w:t>
      </w:r>
      <w:proofErr w:type="gramEnd"/>
      <w:r>
        <w:t xml:space="preserve"> estrangeira do resumo</w:t>
      </w:r>
    </w:p>
    <w:p w14:paraId="5CD2C847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3.1.2.1.5; Anexo F</w:t>
      </w:r>
    </w:p>
    <w:p w14:paraId="1D5A3705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28FD6B86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“Deve apresentar a versão do resumo em língua vernácula no idioma de divulgação internacional (ANEXO F).”</w:t>
      </w:r>
    </w:p>
    <w:p w14:paraId="1D12A9B5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3.1.2.1.5 — Resumo em língua estrangeira</w:t>
      </w:r>
    </w:p>
    <w:p w14:paraId="700536CE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lastRenderedPageBreak/>
        <w:t>O QUE FICA PARA A COPPE</w:t>
      </w:r>
    </w:p>
    <w:p w14:paraId="13146391" w14:textId="77777777" w:rsidR="00E856F7" w:rsidRDefault="00000000">
      <w:pPr>
        <w:spacing w:after="120" w:line="288" w:lineRule="auto"/>
      </w:pPr>
      <w:r>
        <w:t>O Manual exige um resumo “no idioma de divulgação internacional”, sem nomear o idioma.</w:t>
      </w:r>
    </w:p>
    <w:p w14:paraId="103C665B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3E4BB0AE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82F58C4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4B6D61BF" w14:textId="77777777" w:rsidR="00E856F7" w:rsidRDefault="00000000">
            <w:pPr>
              <w:spacing w:after="80" w:line="276" w:lineRule="auto"/>
            </w:pPr>
            <w:r>
              <w:t xml:space="preserve">O </w:t>
            </w:r>
            <w:r>
              <w:rPr>
                <w:b/>
                <w:bCs/>
              </w:rPr>
              <w:t>inglês</w:t>
            </w:r>
            <w:r>
              <w:t xml:space="preserve">, em qualquer caso. O resumo em português vem sempre primeiro, e o </w:t>
            </w:r>
            <w:r>
              <w:rPr>
                <w:i/>
                <w:iCs/>
              </w:rPr>
              <w:t>abstract</w:t>
            </w:r>
            <w:r>
              <w:t xml:space="preserve"> em seguida.</w:t>
            </w:r>
          </w:p>
        </w:tc>
      </w:tr>
    </w:tbl>
    <w:p w14:paraId="78C5EA4F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5BBAD681" w14:textId="77777777" w:rsidR="00E856F7" w:rsidRDefault="00000000">
      <w:pPr>
        <w:spacing w:after="120" w:line="288" w:lineRule="auto"/>
      </w:pPr>
      <w:r>
        <w:t xml:space="preserve">É o idioma do Anexo F e o de divulgação internacional nas engenharias. Num trabalho escrito em inglês, o </w:t>
      </w:r>
      <w:r>
        <w:rPr>
          <w:i/>
          <w:iCs/>
        </w:rPr>
        <w:t>abstract</w:t>
      </w:r>
      <w:r>
        <w:t xml:space="preserve"> é o resumo no idioma do trabalho.</w:t>
      </w:r>
    </w:p>
    <w:p w14:paraId="29C3EBCE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Nenhum: é o que a COPPE já pratica.</w:t>
      </w:r>
    </w:p>
    <w:p w14:paraId="5C3A089D" w14:textId="77777777" w:rsidR="00E856F7" w:rsidRDefault="00000000">
      <w:pPr>
        <w:pStyle w:val="Heading3"/>
        <w:keepNext/>
      </w:pPr>
      <w:r>
        <w:t>D</w:t>
      </w:r>
      <w:proofErr w:type="gramStart"/>
      <w:r>
        <w:t>9  O</w:t>
      </w:r>
      <w:proofErr w:type="gramEnd"/>
      <w:r>
        <w:t xml:space="preserve"> terceiro resumo</w:t>
      </w:r>
    </w:p>
    <w:p w14:paraId="39695384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Acréscimo</w:t>
      </w:r>
      <w:r>
        <w:rPr>
          <w:color w:val="595959"/>
          <w:sz w:val="17"/>
          <w:szCs w:val="17"/>
        </w:rPr>
        <w:t xml:space="preserve">   ·   3.1.2; 3.1.2.1.4; 3.1.2.1.5</w:t>
      </w:r>
    </w:p>
    <w:p w14:paraId="18B5B8AF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0E7AE13A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“[…] resumo em língua vernácula, resumo em língua estrangeira, lista de ilustrações […]”</w:t>
      </w:r>
    </w:p>
    <w:p w14:paraId="1B1F24C5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 xml:space="preserve">— Manual, 3.1.2 — Elementos </w:t>
      </w:r>
      <w:proofErr w:type="spellStart"/>
      <w:r>
        <w:rPr>
          <w:color w:val="595959"/>
          <w:sz w:val="17"/>
          <w:szCs w:val="17"/>
        </w:rPr>
        <w:t>pré</w:t>
      </w:r>
      <w:proofErr w:type="spellEnd"/>
      <w:r>
        <w:rPr>
          <w:color w:val="595959"/>
          <w:sz w:val="17"/>
          <w:szCs w:val="17"/>
        </w:rPr>
        <w:t>-textuais (ordem)</w:t>
      </w:r>
    </w:p>
    <w:p w14:paraId="14D263F9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66520918" w14:textId="77777777" w:rsidR="00E856F7" w:rsidRDefault="00000000">
      <w:pPr>
        <w:spacing w:after="120" w:line="288" w:lineRule="auto"/>
      </w:pPr>
      <w:r>
        <w:t xml:space="preserve">O Manual prevê dois resumos (português e língua estrangeira). Num trabalho em espanhol, idioma garantido pelo art. 57, os dois resumos do Manual são o português e o inglês — e </w:t>
      </w:r>
      <w:r>
        <w:rPr>
          <w:b/>
          <w:bCs/>
        </w:rPr>
        <w:t>não haveria resumo na língua em que o trabalho foi escrito</w:t>
      </w:r>
      <w:r>
        <w:t>.</w:t>
      </w:r>
    </w:p>
    <w:p w14:paraId="7433BC0D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7FC232DC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Dois resumos sempre (português e inglês), e o trabalho em espanhol fica sem resumo em espanhol.</w:t>
      </w:r>
    </w:p>
    <w:p w14:paraId="582610BD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Trocar o inglês pelo idioma do trabalho quando ele não for português nem inglês.</w:t>
      </w:r>
    </w:p>
    <w:p w14:paraId="475D1560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(c)  </w:t>
      </w:r>
      <w:r>
        <w:t>Manter os dois do Manual e acrescentar um terceiro, no idioma do trabalho, depois deles.</w:t>
      </w:r>
    </w:p>
    <w:p w14:paraId="5909E13C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356D41B5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B12A112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44BA2D6B" w14:textId="77777777" w:rsidR="00E856F7" w:rsidRDefault="00000000">
            <w:pPr>
              <w:spacing w:after="80" w:line="276" w:lineRule="auto"/>
            </w:pPr>
            <w:r>
              <w:t xml:space="preserve">Alternativa (c): </w:t>
            </w:r>
            <w:r>
              <w:rPr>
                <w:b/>
                <w:bCs/>
              </w:rPr>
              <w:t>(1)</w:t>
            </w:r>
            <w:r>
              <w:t xml:space="preserve"> português, sempre primeiro; </w:t>
            </w:r>
            <w:r>
              <w:rPr>
                <w:b/>
                <w:bCs/>
              </w:rPr>
              <w:t>(2)</w:t>
            </w:r>
            <w:r>
              <w:t xml:space="preserve"> inglês, sempre; </w:t>
            </w:r>
            <w:r>
              <w:rPr>
                <w:b/>
                <w:bCs/>
              </w:rPr>
              <w:t>(3)</w:t>
            </w:r>
            <w:r>
              <w:t xml:space="preserve"> idioma do trabalho, só quando não é nem português nem inglês. Cada resumo em página própria, inteira no seu idioma (título, texto e palavras-chave), salvo a referência no alto (D10).</w:t>
            </w:r>
          </w:p>
        </w:tc>
      </w:tr>
    </w:tbl>
    <w:p w14:paraId="3B7E7C72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7E78E406" w14:textId="77777777" w:rsidR="00E856F7" w:rsidRDefault="00000000">
      <w:pPr>
        <w:spacing w:after="120" w:line="288" w:lineRule="auto"/>
      </w:pPr>
      <w:r>
        <w:t>(b) contrariaria o 3.1.2.1.5, que pede o idioma de divulgação internacional. (c) cumpre o Manual integralmente e só acrescenta, depois dele, o que ele não previu.</w:t>
      </w:r>
    </w:p>
    <w:p w14:paraId="7ED0A65F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Só os trabalhos em espanhol (ou em outro idioma admitido pelo Programa) têm uma página a mais.</w:t>
      </w:r>
    </w:p>
    <w:p w14:paraId="258B95CE" w14:textId="77777777" w:rsidR="00E856F7" w:rsidRDefault="00000000">
      <w:pPr>
        <w:pStyle w:val="Heading3"/>
        <w:keepNext/>
      </w:pPr>
      <w:r>
        <w:t>D</w:t>
      </w:r>
      <w:proofErr w:type="gramStart"/>
      <w:r>
        <w:t>10  Referência</w:t>
      </w:r>
      <w:proofErr w:type="gramEnd"/>
      <w:r>
        <w:t xml:space="preserve"> bibliográfica no alto do resumo</w:t>
      </w:r>
    </w:p>
    <w:p w14:paraId="76FECD15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3.1.2.1.4; Anexos E </w:t>
      </w:r>
      <w:proofErr w:type="spellStart"/>
      <w:r>
        <w:rPr>
          <w:color w:val="595959"/>
          <w:sz w:val="17"/>
          <w:szCs w:val="17"/>
        </w:rPr>
        <w:t>e</w:t>
      </w:r>
      <w:proofErr w:type="spellEnd"/>
      <w:r>
        <w:rPr>
          <w:color w:val="595959"/>
          <w:sz w:val="17"/>
          <w:szCs w:val="17"/>
        </w:rPr>
        <w:t xml:space="preserve"> F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 w14:paraId="280EA93F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557FB139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“Sugere-se que o resumo venha antecedido por uma referência conforme apresentado no ANEXO E.”</w:t>
      </w:r>
    </w:p>
    <w:p w14:paraId="1EBEC1A8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3.1.2.1.4 — Resumo em língua vernácula</w:t>
      </w:r>
    </w:p>
    <w:p w14:paraId="17181DBB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lastRenderedPageBreak/>
        <w:t>O QUE FICA PARA A COPPE</w:t>
      </w:r>
    </w:p>
    <w:p w14:paraId="13393E4B" w14:textId="77777777" w:rsidR="00E856F7" w:rsidRDefault="00000000">
      <w:pPr>
        <w:spacing w:after="120" w:line="288" w:lineRule="auto"/>
      </w:pPr>
      <w:r>
        <w:t xml:space="preserve">O Manual </w:t>
      </w:r>
      <w:r>
        <w:rPr>
          <w:b/>
          <w:bCs/>
        </w:rPr>
        <w:t>sugere</w:t>
      </w:r>
      <w:r>
        <w:t xml:space="preserve"> a referência; não obriga. A COPPE pode deixar ao autor, tornar regra, ou dispensar.</w:t>
      </w:r>
    </w:p>
    <w:p w14:paraId="16176EEF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1C077655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Deixar como sugestão (o autor decide).</w:t>
      </w:r>
    </w:p>
    <w:p w14:paraId="6553547F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Tornar regra: toda página de resumo abre com a referência do próprio trabalho, igual em todas e sempre em português.</w:t>
      </w:r>
    </w:p>
    <w:p w14:paraId="48DD8020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(c)  </w:t>
      </w:r>
      <w:r>
        <w:t>Dispensar.</w:t>
      </w:r>
    </w:p>
    <w:p w14:paraId="74892C5B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66A78151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DF1E3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D778C01" w14:textId="77777777" w:rsidR="00E856F7" w:rsidRDefault="00000000"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>PROPOSTA</w:t>
            </w:r>
          </w:p>
          <w:p w14:paraId="7E42E065" w14:textId="77777777" w:rsidR="00E856F7" w:rsidRDefault="00000000">
            <w:pPr>
              <w:spacing w:after="80" w:line="276" w:lineRule="auto"/>
            </w:pPr>
            <w:r>
              <w:t xml:space="preserve">Alternativa (b), que é a da Norma (Seção 8). A referência é composta conforme o Anexo E </w:t>
            </w:r>
            <w:proofErr w:type="spellStart"/>
            <w:r>
              <w:t>e</w:t>
            </w:r>
            <w:proofErr w:type="spellEnd"/>
            <w:r>
              <w:t xml:space="preserve"> a NBR 6023 e não se traduz — é o que o Anexo F faz ao repeti-la sobre o </w:t>
            </w:r>
            <w:r>
              <w:rPr>
                <w:i/>
                <w:iCs/>
              </w:rPr>
              <w:t>abstract</w:t>
            </w:r>
            <w:r>
              <w:t>. Exame de qualificação e seminário de mestrado não a recebem, porque não são depositados nem são documentos referenciáveis.</w:t>
            </w:r>
          </w:p>
        </w:tc>
      </w:tr>
    </w:tbl>
    <w:p w14:paraId="4318FFBB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311773B7" w14:textId="77777777" w:rsidR="00E856F7" w:rsidRDefault="00000000">
      <w:pPr>
        <w:spacing w:after="120" w:line="288" w:lineRule="auto"/>
      </w:pPr>
      <w:r>
        <w:t>Os dois exemplos do Manual a trazem, e a implementação de referência a compõe sozinha com os dados da folha de rosto: não custa nada ao autor.</w:t>
      </w:r>
    </w:p>
    <w:p w14:paraId="6BBEF198" w14:textId="77777777" w:rsidR="00E856F7" w:rsidRDefault="00000000">
      <w:pPr>
        <w:spacing w:after="120" w:line="288" w:lineRule="auto"/>
      </w:pPr>
      <w:r>
        <w:rPr>
          <w:b/>
          <w:bCs/>
        </w:rPr>
        <w:t>Ponto que a CPGP precisa fechar:</w:t>
      </w:r>
      <w:r>
        <w:t xml:space="preserve"> a Norma diz que a referência é regra, mas também que a implementação “oferece uma opção para retirá-la”, pensada para o resumo que está perto do limite de 500 palavras. Ou a opção existe e a referência é recomendação, ou a referência é regra e a opção serve só a documentos que não sejam depositados. As duas coisas juntas não convivem.</w:t>
      </w:r>
    </w:p>
    <w:p w14:paraId="17474450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 para o autor que usa a implementação de referência.</w:t>
      </w:r>
    </w:p>
    <w:p w14:paraId="241480B7" w14:textId="77777777" w:rsidR="00E856F7" w:rsidRDefault="00000000">
      <w:pPr>
        <w:pStyle w:val="Heading3"/>
        <w:keepNext/>
      </w:pPr>
      <w:r>
        <w:t>D</w:t>
      </w:r>
      <w:proofErr w:type="gramStart"/>
      <w:r>
        <w:t>11  Conteúdo</w:t>
      </w:r>
      <w:proofErr w:type="gramEnd"/>
      <w:r>
        <w:t xml:space="preserve"> da folha de resumo</w:t>
      </w:r>
    </w:p>
    <w:p w14:paraId="419AA32E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Reafirmação</w:t>
      </w:r>
      <w:r>
        <w:rPr>
          <w:color w:val="595959"/>
          <w:sz w:val="17"/>
          <w:szCs w:val="17"/>
        </w:rPr>
        <w:t xml:space="preserve">   ·   3.1.2.1.4; Anexos E </w:t>
      </w:r>
      <w:proofErr w:type="spellStart"/>
      <w:r>
        <w:rPr>
          <w:color w:val="595959"/>
          <w:sz w:val="17"/>
          <w:szCs w:val="17"/>
        </w:rPr>
        <w:t>e</w:t>
      </w:r>
      <w:proofErr w:type="spellEnd"/>
      <w:r>
        <w:rPr>
          <w:color w:val="595959"/>
          <w:sz w:val="17"/>
          <w:szCs w:val="17"/>
        </w:rPr>
        <w:t xml:space="preserve"> F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 w14:paraId="6472E61D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26F2CE8A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“Deve-se acrescentar ao final do resumo as palavras-chave, precedidas do termo palavras-chave, seguida de dois pontos, separadas entre si por ponto e vírgula […]”</w:t>
      </w:r>
    </w:p>
    <w:p w14:paraId="4BEA3C1B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3.1.2.1.4</w:t>
      </w:r>
    </w:p>
    <w:p w14:paraId="7410A595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3DAD33CC" w14:textId="77777777" w:rsidR="00E856F7" w:rsidRDefault="00000000">
      <w:pPr>
        <w:spacing w:after="120" w:line="288" w:lineRule="auto"/>
      </w:pPr>
      <w:r>
        <w:t xml:space="preserve">A norma antiga da COPPE punha na folha de resumo uma frase de abertura (“Resumo da Tese apresentada à COPPE/UFRJ…”), o título com autor e mês, os orientadores e o Programa. Nada disso está nos Anexos E </w:t>
      </w:r>
      <w:proofErr w:type="spellStart"/>
      <w:r>
        <w:t>e</w:t>
      </w:r>
      <w:proofErr w:type="spellEnd"/>
      <w:r>
        <w:t xml:space="preserve"> F, e a referência do alto já traz autor, título, natureza e instituição.</w:t>
      </w:r>
    </w:p>
    <w:p w14:paraId="38A8FDE4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4620D311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Manter os elementos antigos da COPPE.</w:t>
      </w:r>
    </w:p>
    <w:p w14:paraId="744E18B3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 xml:space="preserve">Seguir só os Anexos E </w:t>
      </w:r>
      <w:proofErr w:type="spellStart"/>
      <w:r>
        <w:t>e</w:t>
      </w:r>
      <w:proofErr w:type="spellEnd"/>
      <w:r>
        <w:t xml:space="preserve"> F: título da folha, referência, texto, palavras-chave.</w:t>
      </w:r>
    </w:p>
    <w:p w14:paraId="73168FF3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(c)  </w:t>
      </w:r>
      <w:r>
        <w:t xml:space="preserve">Seguir os Anexos E </w:t>
      </w:r>
      <w:proofErr w:type="spellStart"/>
      <w:r>
        <w:t>e</w:t>
      </w:r>
      <w:proofErr w:type="spellEnd"/>
      <w:r>
        <w:t xml:space="preserve"> F como regra, mas permitir que um Programa exija os elementos antigos.</w:t>
      </w:r>
    </w:p>
    <w:p w14:paraId="439D401C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4B14C169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DF1E3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2B13C21" w14:textId="77777777" w:rsidR="00E856F7" w:rsidRDefault="00000000"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lastRenderedPageBreak/>
              <w:t>PROPOSTA</w:t>
            </w:r>
          </w:p>
          <w:p w14:paraId="645C7C2D" w14:textId="77777777" w:rsidR="00E856F7" w:rsidRDefault="00000000">
            <w:pPr>
              <w:spacing w:after="80" w:line="276" w:lineRule="auto"/>
            </w:pPr>
            <w:r>
              <w:t>Alternativa (b). A Norma (Seção 6) admite ainda a (c), ao dizer que a implementação oferece os elementos antigos “para o Programa que os exija”; a CPGP deve decidir se quer essa porta aberta.</w:t>
            </w:r>
          </w:p>
        </w:tc>
      </w:tr>
    </w:tbl>
    <w:p w14:paraId="764CBBAC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78C8B037" w14:textId="77777777" w:rsidR="00E856F7" w:rsidRDefault="00000000">
      <w:pPr>
        <w:spacing w:after="120" w:line="288" w:lineRule="auto"/>
      </w:pPr>
      <w:r>
        <w:t>(a) repete informação que a referência já dá. (c) desfaz a uniformidade entre Programas, que é um dos objetivos da Norma; a recomendação é fechar a porta e manter a opção da implementação só para transição.</w:t>
      </w:r>
    </w:p>
    <w:p w14:paraId="461D1C33" w14:textId="77777777" w:rsidR="00E856F7" w:rsidRDefault="00000000">
      <w:pPr>
        <w:spacing w:after="120" w:line="288" w:lineRule="auto"/>
      </w:pPr>
      <w:r>
        <w:t>Com isso perde objeto a questão, levantada na versão anterior desta proposta, de pôr ou não o coorientador nas páginas de resumo: não há mais orientadores nelas.</w:t>
      </w:r>
    </w:p>
    <w:p w14:paraId="65CFB1DB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As páginas de resumo ficam mais curtas e iguais em todos os Programas.</w:t>
      </w:r>
    </w:p>
    <w:p w14:paraId="6BE71CE3" w14:textId="77777777" w:rsidR="00E856F7" w:rsidRDefault="00000000">
      <w:pPr>
        <w:pStyle w:val="Heading3"/>
        <w:keepNext/>
      </w:pPr>
      <w:r>
        <w:t>D</w:t>
      </w:r>
      <w:proofErr w:type="gramStart"/>
      <w:r>
        <w:t>12  Extensão</w:t>
      </w:r>
      <w:proofErr w:type="gramEnd"/>
      <w:r>
        <w:t xml:space="preserve"> do resumo</w:t>
      </w:r>
    </w:p>
    <w:p w14:paraId="1C4C13BF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 xml:space="preserve">Escolha (não </w:t>
      </w:r>
      <w:proofErr w:type="gramStart"/>
      <w:r>
        <w:rPr>
          <w:b/>
          <w:bCs/>
          <w:color w:val="1F3A5F"/>
          <w:sz w:val="17"/>
          <w:szCs w:val="17"/>
        </w:rPr>
        <w:t>exercida)</w:t>
      </w:r>
      <w:r>
        <w:rPr>
          <w:color w:val="595959"/>
          <w:sz w:val="17"/>
          <w:szCs w:val="17"/>
        </w:rPr>
        <w:t xml:space="preserve">   </w:t>
      </w:r>
      <w:proofErr w:type="gramEnd"/>
      <w:r>
        <w:rPr>
          <w:color w:val="595959"/>
          <w:sz w:val="17"/>
          <w:szCs w:val="17"/>
        </w:rPr>
        <w:t>·   3.1.2.1.4; NBR 6028:2021</w:t>
      </w:r>
    </w:p>
    <w:p w14:paraId="2D9E53CA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2E013836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“[…] com, no máximo, 500 palavras e no mínimo 150 palavras. (ABNT, 2021)”</w:t>
      </w:r>
    </w:p>
    <w:p w14:paraId="7FD6428F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3.1.2.1.4</w:t>
      </w:r>
    </w:p>
    <w:p w14:paraId="59C46B13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5F4C8CF2" w14:textId="77777777" w:rsidR="00E856F7" w:rsidRDefault="00000000">
      <w:pPr>
        <w:spacing w:after="120" w:line="288" w:lineRule="auto"/>
      </w:pPr>
      <w:r>
        <w:t xml:space="preserve">O Manual fixa a faixa de 150 a 500 palavras. A COPPE pode restringi-la (a Escola Politécnica, por exemplo, pede até 250), mas não </w:t>
      </w:r>
      <w:proofErr w:type="gramStart"/>
      <w:r>
        <w:t>ampliá-la</w:t>
      </w:r>
      <w:proofErr w:type="gramEnd"/>
      <w:r>
        <w:t>.</w:t>
      </w:r>
    </w:p>
    <w:p w14:paraId="16C7FFFA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11B3C80E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Valer a faixa do Manual.</w:t>
      </w:r>
    </w:p>
    <w:p w14:paraId="390E7756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Fixar um limite menor.</w:t>
      </w:r>
    </w:p>
    <w:p w14:paraId="7B04E532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554C48A7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5D9AFE5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0B3D9A12" w14:textId="77777777" w:rsidR="00E856F7" w:rsidRDefault="00000000">
            <w:pPr>
              <w:spacing w:after="80" w:line="276" w:lineRule="auto"/>
            </w:pPr>
            <w:r>
              <w:t>Alternativa (a): a Norma não trata do assunto e vale o Manual.</w:t>
            </w:r>
          </w:p>
        </w:tc>
      </w:tr>
    </w:tbl>
    <w:p w14:paraId="6A8C1DA2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1C59D06E" w14:textId="77777777" w:rsidR="00E856F7" w:rsidRDefault="00000000">
      <w:pPr>
        <w:spacing w:after="120" w:line="288" w:lineRule="auto"/>
      </w:pPr>
      <w:r>
        <w:t>Um limite menor que 500 não tem justificativa gráfica, e o Manual já evita resumos longos demais.</w:t>
      </w:r>
    </w:p>
    <w:p w14:paraId="3C9DDA1D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Nenhum.</w:t>
      </w:r>
    </w:p>
    <w:p w14:paraId="0EC54F53" w14:textId="77777777" w:rsidR="00E856F7" w:rsidRDefault="00000000">
      <w:pPr>
        <w:pStyle w:val="Heading2"/>
        <w:pageBreakBefore/>
      </w:pPr>
      <w:proofErr w:type="gramStart"/>
      <w:r>
        <w:lastRenderedPageBreak/>
        <w:t>C  Apresentação</w:t>
      </w:r>
      <w:proofErr w:type="gramEnd"/>
      <w:r>
        <w:t xml:space="preserve"> gráfica</w:t>
      </w:r>
    </w:p>
    <w:p w14:paraId="4280CCE3" w14:textId="77777777" w:rsidR="00E856F7" w:rsidRDefault="00000000">
      <w:pPr>
        <w:pStyle w:val="Heading3"/>
        <w:keepNext/>
      </w:pPr>
      <w:r>
        <w:t>D</w:t>
      </w:r>
      <w:proofErr w:type="gramStart"/>
      <w:r>
        <w:t>13  Diagramação</w:t>
      </w:r>
      <w:proofErr w:type="gramEnd"/>
      <w:r>
        <w:t xml:space="preserve"> em folhas, e não em páginas</w:t>
      </w:r>
    </w:p>
    <w:p w14:paraId="624100F9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2.6; 2.7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 w14:paraId="72CF287F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10517A63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“Quando utilizadas páginas ao invés de folhas, os títulos das seções primárias devem começar em página ímpar.”</w:t>
      </w:r>
    </w:p>
    <w:p w14:paraId="20D0F152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2.6</w:t>
      </w:r>
    </w:p>
    <w:p w14:paraId="0AC6A9F7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“Quando o trabalho for diagramado em páginas, a numeração das páginas (como um livro aberto) deve ser colocada sempre no canto superior externo […]”</w:t>
      </w:r>
    </w:p>
    <w:p w14:paraId="02730DAD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2.7</w:t>
      </w:r>
    </w:p>
    <w:p w14:paraId="12E04805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413794B3" w14:textId="77777777" w:rsidR="00E856F7" w:rsidRDefault="00000000">
      <w:pPr>
        <w:spacing w:after="120" w:line="288" w:lineRule="auto"/>
      </w:pPr>
      <w:r>
        <w:t xml:space="preserve">O Manual admite as duas diagramações: </w:t>
      </w:r>
      <w:r>
        <w:rPr>
          <w:b/>
          <w:bCs/>
        </w:rPr>
        <w:t>em folhas</w:t>
      </w:r>
      <w:r>
        <w:t xml:space="preserve"> (só frente, número sempre no canto superior direito) ou </w:t>
      </w:r>
      <w:r>
        <w:rPr>
          <w:b/>
          <w:bCs/>
        </w:rPr>
        <w:t>em páginas</w:t>
      </w:r>
      <w:r>
        <w:t xml:space="preserve"> (frente e verso, número no canto externo, capítulos em página ímpar). A Norma pressupõe folhas (Seção 13), mas não diz isso com todas as letras.</w:t>
      </w:r>
    </w:p>
    <w:p w14:paraId="0C50804E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0756EBAF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Folhas, obrigatoriamente.</w:t>
      </w:r>
    </w:p>
    <w:p w14:paraId="2C9C46A8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Páginas, obrigatoriamente.</w:t>
      </w:r>
    </w:p>
    <w:p w14:paraId="024F69B6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(c)  </w:t>
      </w:r>
      <w:r>
        <w:t>A critério do autor.</w:t>
      </w:r>
    </w:p>
    <w:p w14:paraId="3B9713F4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166D9013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DF1E3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DE55142" w14:textId="77777777" w:rsidR="00E856F7" w:rsidRDefault="00000000"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>PROPOSTA</w:t>
            </w:r>
          </w:p>
          <w:p w14:paraId="516B24BF" w14:textId="77777777" w:rsidR="00E856F7" w:rsidRDefault="00000000">
            <w:pPr>
              <w:spacing w:after="80" w:line="276" w:lineRule="auto"/>
            </w:pPr>
            <w:r>
              <w:t>Alternativa (a), escrita expressamente na Norma.</w:t>
            </w:r>
          </w:p>
        </w:tc>
      </w:tr>
    </w:tbl>
    <w:p w14:paraId="043CF6D5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31D5F942" w14:textId="77777777" w:rsidR="00E856F7" w:rsidRDefault="00000000">
      <w:pPr>
        <w:spacing w:after="120" w:line="288" w:lineRule="auto"/>
      </w:pPr>
      <w:r>
        <w:t>A entrega é exclusivamente digital desde a Res. CEPG n. 246/2023, e o Manual de 2026 eliminou as margens de verso. Diagramar em páginas só produz versos em branco num PDF que ninguém imprime.</w:t>
      </w:r>
    </w:p>
    <w:p w14:paraId="78C8356F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 para quem usa a implementação de referência, que já compõe em folhas.</w:t>
      </w:r>
    </w:p>
    <w:p w14:paraId="33B6E913" w14:textId="77777777" w:rsidR="00E856F7" w:rsidRDefault="00000000">
      <w:pPr>
        <w:pStyle w:val="Heading3"/>
        <w:keepNext/>
      </w:pPr>
      <w:r>
        <w:t>D</w:t>
      </w:r>
      <w:proofErr w:type="gramStart"/>
      <w:r>
        <w:t>14  Família</w:t>
      </w:r>
      <w:proofErr w:type="gramEnd"/>
      <w:r>
        <w:t xml:space="preserve"> tipográfica</w:t>
      </w:r>
    </w:p>
    <w:p w14:paraId="0B183A39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2.2(</w:t>
      </w:r>
      <w:proofErr w:type="gramStart"/>
      <w:r>
        <w:rPr>
          <w:color w:val="595959"/>
          <w:sz w:val="17"/>
          <w:szCs w:val="17"/>
        </w:rPr>
        <w:t>b)</w:t>
      </w:r>
      <w:r>
        <w:rPr>
          <w:b/>
          <w:bCs/>
          <w:color w:val="B45309"/>
          <w:sz w:val="17"/>
          <w:szCs w:val="17"/>
        </w:rPr>
        <w:t xml:space="preserve">   </w:t>
      </w:r>
      <w:proofErr w:type="gramEnd"/>
      <w:r>
        <w:rPr>
          <w:b/>
          <w:bCs/>
          <w:color w:val="B45309"/>
          <w:sz w:val="17"/>
          <w:szCs w:val="17"/>
        </w:rPr>
        <w:t>·   EM ABERTO</w:t>
      </w:r>
    </w:p>
    <w:p w14:paraId="3B7E58A6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791BBE21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“digitadas na cor preta, exceção para ilustrações, utilizando fonte tamanho 12 e fonte menor e uniforme para as citações de mais de 3 linhas, notas de rodapé, paginação e legendas […]”</w:t>
      </w:r>
    </w:p>
    <w:p w14:paraId="3859F26C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2.2(b)</w:t>
      </w:r>
    </w:p>
    <w:p w14:paraId="6DB5EB94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771B7E81" w14:textId="77777777" w:rsidR="00E856F7" w:rsidRDefault="00000000">
      <w:pPr>
        <w:spacing w:after="120" w:line="288" w:lineRule="auto"/>
      </w:pPr>
      <w:r>
        <w:t xml:space="preserve">O Manual fixa cor e corpo, e </w:t>
      </w:r>
      <w:r>
        <w:rPr>
          <w:b/>
          <w:bCs/>
        </w:rPr>
        <w:t>cala sobre a família</w:t>
      </w:r>
      <w:r>
        <w:t xml:space="preserve"> — o próprio Manual está composto em Arial. A Norma também não diz nada, e por isso hoje a escolha é do autor sem estar escrito em lugar nenhum.</w:t>
      </w:r>
    </w:p>
    <w:p w14:paraId="74D110DF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13813E84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Escrever na Norma que a família é livre, respeitado o corpo 12 do Manual.</w:t>
      </w:r>
    </w:p>
    <w:p w14:paraId="6047F909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Fixar sem serifa (como o próprio Manual).</w:t>
      </w:r>
    </w:p>
    <w:p w14:paraId="4429B91E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(c)  </w:t>
      </w:r>
      <w:r>
        <w:t>Fixar com serifa.</w:t>
      </w:r>
    </w:p>
    <w:p w14:paraId="0FAF8E7D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1B18CA52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DF1E3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CFA1C0A" w14:textId="77777777" w:rsidR="00E856F7" w:rsidRDefault="00000000"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lastRenderedPageBreak/>
              <w:t>PROPOSTA</w:t>
            </w:r>
          </w:p>
          <w:p w14:paraId="0212822E" w14:textId="77777777" w:rsidR="00E856F7" w:rsidRDefault="00000000">
            <w:pPr>
              <w:spacing w:after="80" w:line="276" w:lineRule="auto"/>
            </w:pPr>
            <w:r>
              <w:t xml:space="preserve">Alternativa (a). A implementação de referência compõe sem serifa por padrão, seguindo o Manual, e a opção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comserifa</w:t>
            </w:r>
            <w:proofErr w:type="spellEnd"/>
            <w:r>
              <w:t xml:space="preserve"> volta à serifada.</w:t>
            </w:r>
          </w:p>
        </w:tc>
      </w:tr>
    </w:tbl>
    <w:p w14:paraId="21167AB1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766DAD0B" w14:textId="77777777" w:rsidR="00E856F7" w:rsidRDefault="00000000">
      <w:pPr>
        <w:spacing w:after="120" w:line="288" w:lineRule="auto"/>
      </w:pPr>
      <w:r>
        <w:t>Não há motivo normativo para preferir uma família, e a entrega digital elimina o argumento de legibilidade em impressão. O que importa é que o silêncio vire regra escrita.</w:t>
      </w:r>
    </w:p>
    <w:p w14:paraId="6894698B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Nenhum.</w:t>
      </w:r>
    </w:p>
    <w:p w14:paraId="20A1DEBA" w14:textId="77777777" w:rsidR="00E856F7" w:rsidRDefault="00000000">
      <w:pPr>
        <w:pStyle w:val="Heading3"/>
        <w:keepNext/>
      </w:pPr>
      <w:r>
        <w:t>D</w:t>
      </w:r>
      <w:proofErr w:type="gramStart"/>
      <w:r>
        <w:t>15  Destaque</w:t>
      </w:r>
      <w:proofErr w:type="gramEnd"/>
      <w:r>
        <w:t xml:space="preserve"> dos títulos de seção e forma do Sumário</w:t>
      </w:r>
    </w:p>
    <w:p w14:paraId="7CEA4841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2.6; 3.1.2.1.6</w:t>
      </w:r>
    </w:p>
    <w:p w14:paraId="42E2D8C7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13A32B2E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“Destaca-se gradativamente os títulos das seções, utilizando os recursos de negrito, itálico ou grifo e redondo, caixa-alta ou versal.”</w:t>
      </w:r>
    </w:p>
    <w:p w14:paraId="75BC31DD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2.6</w:t>
      </w:r>
    </w:p>
    <w:p w14:paraId="4FD1E74A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“Os títulos e os subtítulos […] devem ser alinhados à esquerda. Recomenda-se que sejam alinhados pela margem do título do indicativo mais extenso.”</w:t>
      </w:r>
    </w:p>
    <w:p w14:paraId="42A2F366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3.1.2.1.6 — Sumário</w:t>
      </w:r>
    </w:p>
    <w:p w14:paraId="00607104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0EDC5B95" w14:textId="77777777" w:rsidR="00E856F7" w:rsidRDefault="00000000">
      <w:pPr>
        <w:spacing w:after="120" w:line="288" w:lineRule="auto"/>
      </w:pPr>
      <w:r>
        <w:t xml:space="preserve">O Manual deixa a combinação de recursos de destaque a critério de quem compõe, e só </w:t>
      </w:r>
      <w:r>
        <w:rPr>
          <w:b/>
          <w:bCs/>
        </w:rPr>
        <w:t>recomenda</w:t>
      </w:r>
      <w:r>
        <w:t xml:space="preserve"> o alinhamento do Sumário.</w:t>
      </w:r>
    </w:p>
    <w:p w14:paraId="36B20E4A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1A3986A0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7DB06B3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589D00EE" w14:textId="77777777" w:rsidR="00E856F7" w:rsidRDefault="00000000">
            <w:pPr>
              <w:spacing w:after="80" w:line="276" w:lineRule="auto"/>
            </w:pPr>
            <w:r>
              <w:t>Fixar o destaque de cada nível como o Manual faz no próprio sumário — primária: CAIXA ALTA negrito; secundária: CAIXA ALTA; terciária: negrito; quaternária: negrito itálico; quinária: itálico — e tornar regra a recomendação do Sumário: indicativos na margem esquerda, títulos numa mesma coluna dada pelo indicativo mais extenso, pontilhado em todos os níveis (Norma, Seção 14).</w:t>
            </w:r>
          </w:p>
        </w:tc>
      </w:tr>
    </w:tbl>
    <w:p w14:paraId="2BEE6BA3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74A418F0" w14:textId="77777777" w:rsidR="00E856F7" w:rsidRDefault="00000000">
      <w:pPr>
        <w:spacing w:after="120" w:line="288" w:lineRule="auto"/>
      </w:pPr>
      <w:r>
        <w:t>É o exemplo que o 3.1.2.1.6 manda seguir (“Utilize como exemplo o sumário deste trabalho”).</w:t>
      </w:r>
    </w:p>
    <w:p w14:paraId="565DAF64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 para quem usa a implementação de referência.</w:t>
      </w:r>
    </w:p>
    <w:p w14:paraId="631E6113" w14:textId="77777777" w:rsidR="00E856F7" w:rsidRDefault="00000000">
      <w:pPr>
        <w:pStyle w:val="Heading3"/>
        <w:keepNext/>
      </w:pPr>
      <w:r>
        <w:t>D</w:t>
      </w:r>
      <w:proofErr w:type="gramStart"/>
      <w:r>
        <w:t>16  Listas</w:t>
      </w:r>
      <w:proofErr w:type="gramEnd"/>
      <w:r>
        <w:t xml:space="preserve"> de Quadros, de Programas e de Algoritmos</w:t>
      </w:r>
    </w:p>
    <w:p w14:paraId="1F7EF643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Acréscimo</w:t>
      </w:r>
      <w:r>
        <w:rPr>
          <w:color w:val="595959"/>
          <w:sz w:val="17"/>
          <w:szCs w:val="17"/>
        </w:rPr>
        <w:t xml:space="preserve">   ·   3.1.2.2.4; 2.10; 2.11</w:t>
      </w:r>
    </w:p>
    <w:p w14:paraId="64BA3271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562E0B8A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 xml:space="preserve">“Quando for necessário, deve ser elaborada uma lista para cada tipo de ilustração, ex.: desenhos, esquemas, fluxogramas, fotografias, gráficos, mapas, organogramas, planta, quadros, </w:t>
      </w:r>
      <w:proofErr w:type="gramStart"/>
      <w:r>
        <w:rPr>
          <w:i/>
          <w:iCs/>
          <w:color w:val="333333"/>
          <w:sz w:val="20"/>
          <w:szCs w:val="20"/>
        </w:rPr>
        <w:t>retratos, etc.</w:t>
      </w:r>
      <w:proofErr w:type="gramEnd"/>
      <w:r>
        <w:rPr>
          <w:i/>
          <w:iCs/>
          <w:color w:val="333333"/>
          <w:sz w:val="20"/>
          <w:szCs w:val="20"/>
        </w:rPr>
        <w:t>”</w:t>
      </w:r>
    </w:p>
    <w:p w14:paraId="3F7D9BF4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3.1.2.2.4 — Lista de ilustrações</w:t>
      </w:r>
    </w:p>
    <w:p w14:paraId="50D4ABEB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09D42CC4" w14:textId="77777777" w:rsidR="00E856F7" w:rsidRDefault="00000000">
      <w:pPr>
        <w:spacing w:after="120" w:line="288" w:lineRule="auto"/>
      </w:pPr>
      <w:r>
        <w:t>O Manual já admite uma lista por tipo de ilustração. As engenharias têm dois tipos que ele não nomeia: listagens de código e pseudocódigo.</w:t>
      </w:r>
    </w:p>
    <w:p w14:paraId="2BC61F3D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06CEB1D0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AA93E4D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lastRenderedPageBreak/>
              <w:t>PROPOSTA</w:t>
            </w:r>
          </w:p>
          <w:p w14:paraId="79C7F353" w14:textId="77777777" w:rsidR="00E856F7" w:rsidRDefault="00000000">
            <w:pPr>
              <w:spacing w:after="80" w:line="276" w:lineRule="auto"/>
            </w:pPr>
            <w:r>
              <w:t xml:space="preserve">Reconhecer três listas próprias — Quadros, Programas (código-fonte) e Algoritmos (pseudocódigo) —, </w:t>
            </w:r>
            <w:proofErr w:type="gramStart"/>
            <w:r>
              <w:t>cada uma presente</w:t>
            </w:r>
            <w:proofErr w:type="gramEnd"/>
            <w:r>
              <w:t xml:space="preserve"> quando houver ao menos uma ocorrência, junto das demais listas de ilustrações e antes da Lista de Tabelas.</w:t>
            </w:r>
          </w:p>
        </w:tc>
      </w:tr>
    </w:tbl>
    <w:p w14:paraId="42883960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7F0DF648" w14:textId="77777777" w:rsidR="00E856F7" w:rsidRDefault="00000000">
      <w:pPr>
        <w:spacing w:after="120" w:line="288" w:lineRule="auto"/>
      </w:pPr>
      <w:r>
        <w:t>Quadro, programa e algoritmo são ilustrações (2.10), e a ordem do 3.1.2 põe as listas de ilustrações antes da de tabelas.</w:t>
      </w:r>
    </w:p>
    <w:p w14:paraId="55AE2343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Nenhum.</w:t>
      </w:r>
    </w:p>
    <w:p w14:paraId="148BABF7" w14:textId="77777777" w:rsidR="00E856F7" w:rsidRDefault="00000000">
      <w:pPr>
        <w:pStyle w:val="Heading3"/>
        <w:keepNext/>
      </w:pPr>
      <w:r>
        <w:t>D</w:t>
      </w:r>
      <w:proofErr w:type="gramStart"/>
      <w:r>
        <w:t>17  Identificação</w:t>
      </w:r>
      <w:proofErr w:type="gramEnd"/>
      <w:r>
        <w:t xml:space="preserve"> e fonte das ilustrações</w:t>
      </w:r>
    </w:p>
    <w:p w14:paraId="4D50E86A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2.10; 2.11</w:t>
      </w:r>
    </w:p>
    <w:p w14:paraId="33F10180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3FD360EB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“Após a ilustração, na parte inferior, indicar a fonte consultada (elemento obrigatório, mesmo que seja produção do próprio autor) […]”</w:t>
      </w:r>
    </w:p>
    <w:p w14:paraId="2B39F3E9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2.10 — Ilustrações</w:t>
      </w:r>
    </w:p>
    <w:p w14:paraId="694EF1A2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“A tabela, quadro ou figura produzida pelo autor […] deve conter na fonte esta informação: “elaborada pelo próprio autor” ou “elaboração própria” ou “o próprio autor”, entre outros.”</w:t>
      </w:r>
    </w:p>
    <w:p w14:paraId="1498B257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2.11</w:t>
      </w:r>
    </w:p>
    <w:p w14:paraId="40FE68F4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7B0D3F10" w14:textId="77777777" w:rsidR="00E856F7" w:rsidRDefault="00000000">
      <w:pPr>
        <w:spacing w:after="120" w:line="288" w:lineRule="auto"/>
      </w:pPr>
      <w:r>
        <w:t>O Manual já obriga identificação acima e fonte abaixo, sempre. Fica aberto o alinhamento, e qual das fórmulas usar para produção própria.</w:t>
      </w:r>
    </w:p>
    <w:p w14:paraId="463954A1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30642BE4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0707C3B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165AB1D0" w14:textId="77777777" w:rsidR="00E856F7" w:rsidRDefault="00000000">
            <w:pPr>
              <w:spacing w:after="80" w:line="276" w:lineRule="auto"/>
            </w:pPr>
            <w:r>
              <w:t>Identificação acima e fonte abaixo, em corpo menor e espaço simples, ambas alinhadas à esquerda e dentro das margens da ilustração, como na Figura 1 do Manual; fonte antecedida de “Fonte:” (ou equivalente no idioma do trabalho). A fórmula para produção própria fica a critério do autor, entre as do 2.11.</w:t>
            </w:r>
          </w:p>
        </w:tc>
      </w:tr>
    </w:tbl>
    <w:p w14:paraId="0DF48D91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79E7AEF1" w14:textId="77777777" w:rsidR="00E856F7" w:rsidRDefault="00000000">
      <w:pPr>
        <w:spacing w:after="120" w:line="288" w:lineRule="auto"/>
      </w:pPr>
      <w:r>
        <w:t>A obrigação vem do Manual; a COPPE só fixa o alinhamento, que o Manual mostra num único exemplo.</w:t>
      </w:r>
    </w:p>
    <w:p w14:paraId="482F4764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Toda figura e tabela precisa de fonte, mesmo as do próprio autor. É o ponto em que mais se erra.</w:t>
      </w:r>
    </w:p>
    <w:p w14:paraId="58D29A46" w14:textId="77777777" w:rsidR="00E856F7" w:rsidRDefault="00000000">
      <w:pPr>
        <w:pStyle w:val="Heading3"/>
        <w:keepNext/>
      </w:pPr>
      <w:r>
        <w:t>D</w:t>
      </w:r>
      <w:proofErr w:type="gramStart"/>
      <w:r>
        <w:t>18  Apêndices</w:t>
      </w:r>
      <w:proofErr w:type="gramEnd"/>
      <w:r>
        <w:t xml:space="preserve"> e Anexos</w:t>
      </w:r>
    </w:p>
    <w:p w14:paraId="22754C31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3.1.4.3; 3.1.4.4</w:t>
      </w:r>
    </w:p>
    <w:p w14:paraId="08F8C8B3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4B3826C9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“Os apêndices são identificados por letras maiúsculas consecutivas, travessão e pelos respectivos títulos.”</w:t>
      </w:r>
    </w:p>
    <w:p w14:paraId="4434C9DB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3.1.4.3 — Apêndice (o 3.1.4.4 diz o mesmo do Anexo)</w:t>
      </w:r>
    </w:p>
    <w:p w14:paraId="3830B26C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3F39A73C" w14:textId="77777777" w:rsidR="00E856F7" w:rsidRDefault="00000000">
      <w:pPr>
        <w:spacing w:after="120" w:line="288" w:lineRule="auto"/>
      </w:pPr>
      <w:r>
        <w:t>O Manual fixa a forma da identificação; o que fica é a grafia e a repetição no Sumário.</w:t>
      </w:r>
    </w:p>
    <w:p w14:paraId="21D18603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12173A10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E0ED310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lastRenderedPageBreak/>
              <w:t>PROPOSTA</w:t>
            </w:r>
          </w:p>
          <w:p w14:paraId="19C412F0" w14:textId="77777777" w:rsidR="00E856F7" w:rsidRDefault="00000000">
            <w:pPr>
              <w:spacing w:after="80" w:line="276" w:lineRule="auto"/>
            </w:pPr>
            <w:r>
              <w:t>“</w:t>
            </w:r>
            <w:r>
              <w:rPr>
                <w:b/>
                <w:bCs/>
              </w:rPr>
              <w:t>APÊNDICE A — Título</w:t>
            </w:r>
            <w:r>
              <w:t>” e “</w:t>
            </w:r>
            <w:r>
              <w:rPr>
                <w:b/>
                <w:bCs/>
              </w:rPr>
              <w:t>ANEXO A — Título</w:t>
            </w:r>
            <w:r>
              <w:t>”, com a palavra em caixa alta, igual na abertura do capítulo e no Sumário, no idioma do trabalho.</w:t>
            </w:r>
          </w:p>
        </w:tc>
      </w:tr>
    </w:tbl>
    <w:p w14:paraId="201B261F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4C92307A" w14:textId="77777777" w:rsidR="00E856F7" w:rsidRDefault="00000000">
      <w:pPr>
        <w:spacing w:after="120" w:line="288" w:lineRule="auto"/>
      </w:pPr>
      <w:r>
        <w:t>O 3.1.4.4 manda que o destaque do anexo seja o da seção primária.</w:t>
      </w:r>
    </w:p>
    <w:p w14:paraId="1F5AA186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Nenhum.</w:t>
      </w:r>
    </w:p>
    <w:p w14:paraId="72F3460D" w14:textId="77777777" w:rsidR="00E856F7" w:rsidRDefault="00000000">
      <w:pPr>
        <w:pStyle w:val="Heading3"/>
        <w:keepNext/>
      </w:pPr>
      <w:r>
        <w:t>D</w:t>
      </w:r>
      <w:proofErr w:type="gramStart"/>
      <w:r>
        <w:t>19  Numeração</w:t>
      </w:r>
      <w:proofErr w:type="gramEnd"/>
      <w:r>
        <w:t xml:space="preserve"> das folhas</w:t>
      </w:r>
    </w:p>
    <w:p w14:paraId="79D35FA6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Reafirmação</w:t>
      </w:r>
      <w:r>
        <w:rPr>
          <w:color w:val="595959"/>
          <w:sz w:val="17"/>
          <w:szCs w:val="17"/>
        </w:rPr>
        <w:t xml:space="preserve">   ·   2.7</w:t>
      </w:r>
    </w:p>
    <w:p w14:paraId="3D09581E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2A8657A2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“Todas as folhas ou páginas, a partir da folha de rosto, devem ser contadas sequencialmente, mas não numeradas. A folha adicional que contém a ficha catalográfica, não pode ser contada ou numerada. A numeração é colocada a partir da primeira folha da parte textual, em algarismos arábicos […]”</w:t>
      </w:r>
    </w:p>
    <w:p w14:paraId="7EDCA86E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2.7 — Paginação</w:t>
      </w:r>
    </w:p>
    <w:p w14:paraId="72368835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31144A06" w14:textId="77777777" w:rsidR="00E856F7" w:rsidRDefault="00000000">
      <w:pPr>
        <w:spacing w:after="120" w:line="288" w:lineRule="auto"/>
      </w:pPr>
      <w:r>
        <w:t>Nada: o Manual decide tudo. A Norma repete o item porque é onde mais se erra.</w:t>
      </w:r>
    </w:p>
    <w:p w14:paraId="726889E4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70EE6C68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F7ED522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2FC34302" w14:textId="77777777" w:rsidR="00E856F7" w:rsidRDefault="00000000">
            <w:pPr>
              <w:spacing w:after="80" w:line="276" w:lineRule="auto"/>
            </w:pPr>
            <w:r>
              <w:t xml:space="preserve">Repetir o 2.7: a Introdução </w:t>
            </w:r>
            <w:r>
              <w:rPr>
                <w:b/>
                <w:bCs/>
              </w:rPr>
              <w:t>não</w:t>
            </w:r>
            <w:r>
              <w:t xml:space="preserve"> é a folha 1; não há algarismos romanos nas </w:t>
            </w:r>
            <w:proofErr w:type="spellStart"/>
            <w:r>
              <w:t>pré</w:t>
            </w:r>
            <w:proofErr w:type="spellEnd"/>
            <w:r>
              <w:t>-textuais; número no canto superior direito, a 2 cm das bordas.</w:t>
            </w:r>
          </w:p>
        </w:tc>
      </w:tr>
    </w:tbl>
    <w:p w14:paraId="05C1B2F8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72FB77D5" w14:textId="11192919" w:rsidR="00E856F7" w:rsidRDefault="00000000">
      <w:pPr>
        <w:spacing w:after="120" w:line="288" w:lineRule="auto"/>
      </w:pPr>
      <w:r>
        <w:t xml:space="preserve">É </w:t>
      </w:r>
      <w:r w:rsidR="00734A76">
        <w:t>um</w:t>
      </w:r>
      <w:r>
        <w:t>a mudança que surpreende quem escreveu pela norma antiga.</w:t>
      </w:r>
    </w:p>
    <w:p w14:paraId="343118DF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 xml:space="preserve">Quem numerava as </w:t>
      </w:r>
      <w:proofErr w:type="spellStart"/>
      <w:r>
        <w:rPr>
          <w:color w:val="595959"/>
          <w:sz w:val="19"/>
          <w:szCs w:val="19"/>
        </w:rPr>
        <w:t>pré</w:t>
      </w:r>
      <w:proofErr w:type="spellEnd"/>
      <w:r>
        <w:rPr>
          <w:color w:val="595959"/>
          <w:sz w:val="19"/>
          <w:szCs w:val="19"/>
        </w:rPr>
        <w:t>-textuais em romanos e recomeçava em 1 na Introdução deixa de fazê-lo.</w:t>
      </w:r>
    </w:p>
    <w:p w14:paraId="5A93EB77" w14:textId="77777777" w:rsidR="00E856F7" w:rsidRDefault="00000000">
      <w:pPr>
        <w:pStyle w:val="Heading3"/>
        <w:keepNext/>
      </w:pPr>
      <w:r>
        <w:t>D</w:t>
      </w:r>
      <w:proofErr w:type="gramStart"/>
      <w:r>
        <w:t>20  Citações</w:t>
      </w:r>
      <w:proofErr w:type="gramEnd"/>
      <w:r>
        <w:t xml:space="preserve"> e referências</w:t>
      </w:r>
    </w:p>
    <w:p w14:paraId="77BD26DE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4.1.1.1; 3.1.4.1</w:t>
      </w:r>
    </w:p>
    <w:p w14:paraId="2E890F68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5B20CCE4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“As citações devem ser indicadas no texto por um sistema numérico ou autor-data. Qualquer que seja a opção esta deve ser utilizada em todo o trabalho […]”</w:t>
      </w:r>
    </w:p>
    <w:p w14:paraId="146124F1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4.1.1.1 — Sistema de chamada</w:t>
      </w:r>
    </w:p>
    <w:p w14:paraId="6DD2EA6B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4F7805E7" w14:textId="77777777" w:rsidR="00E856F7" w:rsidRDefault="00000000">
      <w:pPr>
        <w:spacing w:after="120" w:line="288" w:lineRule="auto"/>
      </w:pPr>
      <w:r>
        <w:t>O Manual admite os dois sistemas. Fica também aberta a edição das normas da ABNT a seguir.</w:t>
      </w:r>
    </w:p>
    <w:p w14:paraId="4A8752A6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447A7B14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Fixar um sistema para toda a COPPE.</w:t>
      </w:r>
    </w:p>
    <w:p w14:paraId="29D080C3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Deixar a escolha ao autor, com uso consistente.</w:t>
      </w:r>
    </w:p>
    <w:p w14:paraId="3EE89228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39A3D7BB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B3BCFC9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409F4842" w14:textId="77777777" w:rsidR="00E856F7" w:rsidRDefault="00000000">
            <w:pPr>
              <w:spacing w:after="80" w:line="276" w:lineRule="auto"/>
            </w:pPr>
            <w:r>
              <w:t xml:space="preserve">Alternativa (b). E as normas da ABNT valem </w:t>
            </w:r>
            <w:r>
              <w:rPr>
                <w:b/>
                <w:bCs/>
              </w:rPr>
              <w:t>nas edições que o Manual cita</w:t>
            </w:r>
            <w:r>
              <w:t xml:space="preserve"> — NBR 6023:2025 (Referências) e NBR 10520:2023 (Citações) —, e não “nas edições vigentes”; onde divergirem do Manual, vale o Manual.</w:t>
            </w:r>
          </w:p>
        </w:tc>
      </w:tr>
    </w:tbl>
    <w:p w14:paraId="5D97ECE9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lastRenderedPageBreak/>
        <w:t>JUSTIFICATIVA</w:t>
      </w:r>
    </w:p>
    <w:p w14:paraId="28688787" w14:textId="77777777" w:rsidR="00E856F7" w:rsidRDefault="00000000">
      <w:pPr>
        <w:spacing w:after="120" w:line="288" w:lineRule="auto"/>
      </w:pPr>
      <w:r>
        <w:t>As áreas da COPPE têm tradições diferentes de citação. Congelar as edições evita que a ABNT mude a norma sem que o Manual e a implementação acompanhem.</w:t>
      </w:r>
    </w:p>
    <w:p w14:paraId="4D241A90" w14:textId="77777777" w:rsidR="00E856F7" w:rsidRDefault="00000000">
      <w:pPr>
        <w:spacing w:after="120" w:line="288" w:lineRule="auto"/>
      </w:pPr>
      <w:r>
        <w:t>O sistema numérico não se usa em trabalho com notas de rodapé (4.1.1.1.1) — regra do Manual, não da COPPE.</w:t>
      </w:r>
    </w:p>
    <w:p w14:paraId="7D1BDBF4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Nenhum.</w:t>
      </w:r>
    </w:p>
    <w:p w14:paraId="30D21115" w14:textId="77777777" w:rsidR="00E856F7" w:rsidRDefault="00000000">
      <w:pPr>
        <w:pStyle w:val="Heading2"/>
        <w:pageBreakBefore/>
      </w:pPr>
      <w:proofErr w:type="gramStart"/>
      <w:r>
        <w:lastRenderedPageBreak/>
        <w:t>D  Entrega</w:t>
      </w:r>
      <w:proofErr w:type="gramEnd"/>
      <w:r>
        <w:t>, vigência e governança</w:t>
      </w:r>
    </w:p>
    <w:p w14:paraId="05E62CC6" w14:textId="77777777" w:rsidR="00E856F7" w:rsidRDefault="00000000">
      <w:pPr>
        <w:pStyle w:val="Heading3"/>
        <w:keepNext/>
      </w:pPr>
      <w:r>
        <w:t>D</w:t>
      </w:r>
      <w:proofErr w:type="gramStart"/>
      <w:r>
        <w:t>21  PDF</w:t>
      </w:r>
      <w:proofErr w:type="gramEnd"/>
      <w:r>
        <w:t>/A</w:t>
      </w:r>
    </w:p>
    <w:p w14:paraId="6A5048BF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Reafirmação</w:t>
      </w:r>
      <w:r>
        <w:rPr>
          <w:color w:val="595959"/>
          <w:sz w:val="17"/>
          <w:szCs w:val="17"/>
        </w:rPr>
        <w:t xml:space="preserve">   ·   2.2(d); Anexo I</w:t>
      </w:r>
    </w:p>
    <w:p w14:paraId="2503B6A8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1A831AC2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</w:t>
      </w:r>
      <w:proofErr w:type="spellStart"/>
      <w:r>
        <w:rPr>
          <w:i/>
          <w:iCs/>
          <w:color w:val="333333"/>
          <w:sz w:val="20"/>
          <w:szCs w:val="20"/>
        </w:rPr>
        <w:t>a</w:t>
      </w:r>
      <w:proofErr w:type="spellEnd"/>
      <w:r>
        <w:rPr>
          <w:i/>
          <w:iCs/>
          <w:color w:val="333333"/>
          <w:sz w:val="20"/>
          <w:szCs w:val="20"/>
        </w:rPr>
        <w:t xml:space="preserve"> diagramação da versão digital final é de responsabilidade do autor do trabalho, e deve ser entregue em arquivo do tipo PDF/A, (formato de arquivamento de longo prazo).”</w:t>
      </w:r>
    </w:p>
    <w:p w14:paraId="32A64225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2.2(d)</w:t>
      </w:r>
    </w:p>
    <w:p w14:paraId="2F444BBA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6A19E094" w14:textId="77777777" w:rsidR="00E856F7" w:rsidRDefault="00000000">
      <w:pPr>
        <w:spacing w:after="120" w:line="288" w:lineRule="auto"/>
      </w:pPr>
      <w:r>
        <w:rPr>
          <w:b/>
          <w:bCs/>
        </w:rPr>
        <w:t>Nada — e isso corrige a versão anterior desta proposta</w:t>
      </w:r>
      <w:r>
        <w:t>, que apresentava “PDF/A por padrão” como questão de mérito para a CPGP. O Manual de 2026 já obriga o PDF/A.</w:t>
      </w:r>
    </w:p>
    <w:p w14:paraId="7DC98EF0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1051B3F4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87D9316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44807D3F" w14:textId="77777777" w:rsidR="00E856F7" w:rsidRDefault="00000000">
            <w:pPr>
              <w:spacing w:after="80" w:line="276" w:lineRule="auto"/>
            </w:pPr>
            <w:r>
              <w:t>A minuta repete a obrigação (art. 5.º). A implementação de referência produz PDF/A-2b por padrão desde a versão 5.0.</w:t>
            </w:r>
          </w:p>
        </w:tc>
      </w:tr>
    </w:tbl>
    <w:p w14:paraId="297157DB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7C443995" w14:textId="77777777" w:rsidR="00E856F7" w:rsidRDefault="00000000">
      <w:pPr>
        <w:spacing w:after="120" w:line="288" w:lineRule="auto"/>
      </w:pPr>
      <w:r>
        <w:t>Não é escolha da COPPE.</w:t>
      </w:r>
    </w:p>
    <w:p w14:paraId="6061FED7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Quem compõe fora da implementação de referência precisa exportar em PDF/A (o Anexo I do Manual explica como).</w:t>
      </w:r>
    </w:p>
    <w:p w14:paraId="2A7A65BC" w14:textId="77777777" w:rsidR="00E856F7" w:rsidRDefault="00000000">
      <w:pPr>
        <w:pStyle w:val="Heading3"/>
        <w:keepNext/>
      </w:pPr>
      <w:r>
        <w:t>D</w:t>
      </w:r>
      <w:proofErr w:type="gramStart"/>
      <w:r>
        <w:t>22  Quem</w:t>
      </w:r>
      <w:proofErr w:type="gramEnd"/>
      <w:r>
        <w:t xml:space="preserve"> preenche a folha adicional</w:t>
      </w:r>
    </w:p>
    <w:p w14:paraId="349D98CA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Dado próprio</w:t>
      </w:r>
      <w:r>
        <w:rPr>
          <w:color w:val="595959"/>
          <w:sz w:val="17"/>
          <w:szCs w:val="17"/>
        </w:rPr>
        <w:t xml:space="preserve">   ·   3.1.2.1.2; Anexo H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 w14:paraId="1CFB5FC4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A UFRJ DETERMINA</w:t>
      </w:r>
    </w:p>
    <w:p w14:paraId="7295A8A2" w14:textId="77777777" w:rsidR="00E856F7" w:rsidRDefault="00000000">
      <w:pPr>
        <w:pBdr>
          <w:left w:val="single" w:sz="18" w:space="10" w:color="9DB3CF"/>
        </w:pBdr>
        <w:spacing w:after="20" w:line="276" w:lineRule="auto"/>
        <w:ind w:left="340"/>
      </w:pPr>
      <w:r>
        <w:rPr>
          <w:i/>
          <w:iCs/>
          <w:color w:val="333333"/>
          <w:sz w:val="20"/>
          <w:szCs w:val="20"/>
        </w:rPr>
        <w:t>“A partir de agosto de 2026, as teses e dissertações devem apresentar a folha adicional com os dados sobre o trabalho devidamente preenchidos pelo programa de pós-graduação.”</w:t>
      </w:r>
    </w:p>
    <w:p w14:paraId="72734529" w14:textId="77777777" w:rsidR="00E856F7" w:rsidRDefault="00000000">
      <w:pPr>
        <w:pBdr>
          <w:left w:val="single" w:sz="18" w:space="10" w:color="9DB3CF"/>
        </w:pBdr>
        <w:spacing w:after="100"/>
        <w:ind w:left="340"/>
      </w:pPr>
      <w:r>
        <w:rPr>
          <w:color w:val="595959"/>
          <w:sz w:val="17"/>
          <w:szCs w:val="17"/>
        </w:rPr>
        <w:t>— Manual, 3.1.2.1.2</w:t>
      </w:r>
    </w:p>
    <w:p w14:paraId="4B312EE7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38E13B3F" w14:textId="77777777" w:rsidR="00E856F7" w:rsidRDefault="00000000">
      <w:pPr>
        <w:spacing w:after="120" w:line="288" w:lineRule="auto"/>
      </w:pPr>
      <w:r>
        <w:t>O Manual atribui o preenchimento “ao programa de pós-graduação”, mas não diz quem, no Programa, nem em que momento. A Norma não trata do assunto.</w:t>
      </w:r>
    </w:p>
    <w:p w14:paraId="33AAA5DF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34AA2884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A secretaria do Programa preenche e devolve ao discente antes do depósito.</w:t>
      </w:r>
    </w:p>
    <w:p w14:paraId="7EE114E2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O discente preenche e a secretaria confere.</w:t>
      </w:r>
    </w:p>
    <w:p w14:paraId="1BEB2681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(c)  </w:t>
      </w:r>
      <w:r>
        <w:t>O orientador preenche.</w:t>
      </w:r>
    </w:p>
    <w:p w14:paraId="2730D4D8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3D541F3F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DF1E3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7621BDE" w14:textId="77777777" w:rsidR="00E856F7" w:rsidRDefault="00000000"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>PROPOSTA</w:t>
            </w:r>
          </w:p>
          <w:p w14:paraId="29D3CC5F" w14:textId="77777777" w:rsidR="00E856F7" w:rsidRDefault="00000000">
            <w:pPr>
              <w:spacing w:after="80" w:line="276" w:lineRule="auto"/>
            </w:pPr>
            <w:r>
              <w:t xml:space="preserve">Alternativa (b), registrada na resolução e não na Norma, por ser procedimento e não forma gráfica. A ficha catalográfica vem do Gerador do </w:t>
            </w:r>
            <w:proofErr w:type="spellStart"/>
            <w:r>
              <w:t>SiBI</w:t>
            </w:r>
            <w:proofErr w:type="spellEnd"/>
            <w:r>
              <w:t xml:space="preserve"> ou da biblioteca do Programa, como manda o Manual.</w:t>
            </w:r>
          </w:p>
        </w:tc>
      </w:tr>
    </w:tbl>
    <w:p w14:paraId="5F3F7958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211F0D6C" w14:textId="77777777" w:rsidR="00E856F7" w:rsidRDefault="00000000">
      <w:pPr>
        <w:spacing w:after="120" w:line="288" w:lineRule="auto"/>
      </w:pPr>
      <w:r>
        <w:t>Os campos (tipo de produção, projeto vinculado, área de concentração, agências de fomento) são dados que o discente conhece; a conferência pela secretaria cumpre o “preenchidos pelo programa”.</w:t>
      </w:r>
    </w:p>
    <w:p w14:paraId="3F52A3A7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lastRenderedPageBreak/>
        <w:t>Para quem escreve: A folha adicional já é obrigatória desde agosto de 2026</w:t>
      </w:r>
      <w:r>
        <w:rPr>
          <w:color w:val="595959"/>
          <w:sz w:val="19"/>
          <w:szCs w:val="19"/>
        </w:rPr>
        <w:t>, com ou sem esta resolução.</w:t>
      </w:r>
    </w:p>
    <w:p w14:paraId="605D1914" w14:textId="77777777" w:rsidR="00E856F7" w:rsidRDefault="00000000">
      <w:pPr>
        <w:pStyle w:val="Heading3"/>
        <w:keepNext/>
      </w:pPr>
      <w:r>
        <w:t>D</w:t>
      </w:r>
      <w:proofErr w:type="gramStart"/>
      <w:r>
        <w:t>23  Implementação</w:t>
      </w:r>
      <w:proofErr w:type="gramEnd"/>
      <w:r>
        <w:t xml:space="preserve"> de referência</w:t>
      </w:r>
    </w:p>
    <w:p w14:paraId="6E98052E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Manual omisso</w:t>
      </w:r>
    </w:p>
    <w:p w14:paraId="590BABA6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2FC4D58C" w14:textId="77777777" w:rsidR="00E856F7" w:rsidRDefault="00000000">
      <w:pPr>
        <w:spacing w:after="120" w:line="288" w:lineRule="auto"/>
      </w:pPr>
      <w:r>
        <w:t>A UFRJ não exige ferramenta. A COPPE pode indicar uma implementação de referência e decidir se ela é obrigatória.</w:t>
      </w:r>
    </w:p>
    <w:p w14:paraId="2D413853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3A1A812C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Não indicar nenhuma.</w:t>
      </w:r>
    </w:p>
    <w:p w14:paraId="25DA5798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 xml:space="preserve">Indicar a classe </w:t>
      </w:r>
      <w:proofErr w:type="spellStart"/>
      <w:r>
        <w:t>LaTeX</w:t>
      </w:r>
      <w:proofErr w:type="spellEnd"/>
      <w:r>
        <w:t xml:space="preserve"> como referência, sem obrigar seu uso.</w:t>
      </w:r>
    </w:p>
    <w:p w14:paraId="445F1731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(c)  </w:t>
      </w:r>
      <w:r>
        <w:t>Obrigar o uso da classe.</w:t>
      </w:r>
    </w:p>
    <w:p w14:paraId="0F099CC1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77807665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6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ECF4571" w14:textId="77777777" w:rsidR="00E856F7" w:rsidRDefault="00000000"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>PROPOSTA</w:t>
            </w:r>
          </w:p>
          <w:p w14:paraId="70A7FC21" w14:textId="77777777" w:rsidR="00E856F7" w:rsidRDefault="00000000">
            <w:pPr>
              <w:spacing w:after="80" w:line="276" w:lineRule="auto"/>
            </w:pPr>
            <w:r>
              <w:t xml:space="preserve">Alternativa (b): a classe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ufrj</w:t>
            </w:r>
            <w:proofErr w:type="spellEnd"/>
            <w:r>
              <w:t xml:space="preserve"> com o estilo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ufrj-coppe</w:t>
            </w:r>
            <w:proofErr w:type="spellEnd"/>
            <w:r>
              <w:t>, versões 5.0 e posteriores (</w:t>
            </w:r>
            <w:proofErr w:type="spellStart"/>
            <w:r>
              <w:t>CoppeTeX</w:t>
            </w:r>
            <w:proofErr w:type="spellEnd"/>
            <w:r>
              <w:t xml:space="preserve"> 5.x), em github.com/COPPE-UFRJ/</w:t>
            </w:r>
            <w:proofErr w:type="spellStart"/>
            <w:r>
              <w:t>CoppeTeX</w:t>
            </w:r>
            <w:proofErr w:type="spellEnd"/>
            <w:r>
              <w:t xml:space="preserve">. Havendo divergência entre a Norma e o que a classe produz, </w:t>
            </w:r>
            <w:r>
              <w:rPr>
                <w:b/>
                <w:bCs/>
              </w:rPr>
              <w:t>prevalecem a Norma e o Manual</w:t>
            </w:r>
            <w:r>
              <w:t>.</w:t>
            </w:r>
          </w:p>
        </w:tc>
      </w:tr>
    </w:tbl>
    <w:p w14:paraId="164AFD00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55D8A9AA" w14:textId="77777777" w:rsidR="00E856F7" w:rsidRDefault="00000000">
      <w:pPr>
        <w:spacing w:after="120" w:line="288" w:lineRule="auto"/>
      </w:pPr>
      <w:r>
        <w:t xml:space="preserve">Obrigar </w:t>
      </w:r>
      <w:proofErr w:type="spellStart"/>
      <w:r>
        <w:t>LaTeX</w:t>
      </w:r>
      <w:proofErr w:type="spellEnd"/>
      <w:r>
        <w:t xml:space="preserve"> excluiria quem escreve em editor de texto. Indicar uma referência dá a todos um modelo verificável do que a Norma exige.</w:t>
      </w:r>
    </w:p>
    <w:p w14:paraId="73F1AF3A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Quem usa Word ou outra ferramenta segue a Norma e o Manual diretamente.</w:t>
      </w:r>
    </w:p>
    <w:p w14:paraId="19DC476C" w14:textId="77777777" w:rsidR="00E856F7" w:rsidRDefault="00000000">
      <w:pPr>
        <w:pStyle w:val="Heading3"/>
        <w:keepNext/>
      </w:pPr>
      <w:r>
        <w:t>D</w:t>
      </w:r>
      <w:proofErr w:type="gramStart"/>
      <w:r>
        <w:t>24  Vigência</w:t>
      </w:r>
      <w:proofErr w:type="gramEnd"/>
      <w:r>
        <w:t xml:space="preserve"> e transição</w:t>
      </w:r>
    </w:p>
    <w:p w14:paraId="32ACBDBF" w14:textId="77777777" w:rsidR="00E856F7" w:rsidRDefault="00000000">
      <w:pPr>
        <w:keepNext/>
        <w:spacing w:after="120"/>
      </w:pPr>
      <w:r>
        <w:rPr>
          <w:b/>
          <w:bCs/>
          <w:color w:val="1F3A5F"/>
          <w:sz w:val="17"/>
          <w:szCs w:val="17"/>
        </w:rPr>
        <w:t>Escolha</w:t>
      </w:r>
      <w:r>
        <w:rPr>
          <w:color w:val="595959"/>
          <w:sz w:val="17"/>
          <w:szCs w:val="17"/>
        </w:rPr>
        <w:t xml:space="preserve">   ·   Manual omisso</w:t>
      </w:r>
      <w:r>
        <w:rPr>
          <w:b/>
          <w:bCs/>
          <w:color w:val="B45309"/>
          <w:sz w:val="17"/>
          <w:szCs w:val="17"/>
        </w:rPr>
        <w:t xml:space="preserve">   ·   EM ABERTO</w:t>
      </w:r>
    </w:p>
    <w:p w14:paraId="27F8151D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O QUE FICA PARA A COPPE</w:t>
      </w:r>
    </w:p>
    <w:p w14:paraId="734ED35F" w14:textId="77777777" w:rsidR="00E856F7" w:rsidRDefault="00000000">
      <w:pPr>
        <w:spacing w:after="120" w:line="288" w:lineRule="auto"/>
      </w:pPr>
      <w:r>
        <w:t>A data a partir da qual a Norma se aplica, e o que acontece com os trabalhos em curso.</w:t>
      </w:r>
    </w:p>
    <w:p w14:paraId="320FDB8C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ALTERNATIVAS</w:t>
      </w:r>
    </w:p>
    <w:p w14:paraId="25666367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(a)  </w:t>
      </w:r>
      <w:r>
        <w:t>Vigência imediata.</w:t>
      </w:r>
    </w:p>
    <w:p w14:paraId="64001C37" w14:textId="77777777" w:rsidR="00E856F7" w:rsidRDefault="00000000">
      <w:pPr>
        <w:spacing w:after="60" w:line="276" w:lineRule="auto"/>
        <w:ind w:left="567" w:hanging="397"/>
      </w:pPr>
      <w:r>
        <w:rPr>
          <w:b/>
          <w:bCs/>
        </w:rPr>
        <w:t xml:space="preserve">(b)  </w:t>
      </w:r>
      <w:r>
        <w:t>Vigência em data futura (sugestão: noventa dias), facultada a adoção imediata.</w:t>
      </w:r>
    </w:p>
    <w:p w14:paraId="734753DA" w14:textId="77777777" w:rsidR="00E856F7" w:rsidRDefault="00E856F7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856F7" w14:paraId="436EAA18" w14:textId="77777777">
        <w:trPr>
          <w:cantSplit/>
        </w:trPr>
        <w:tc>
          <w:tcPr>
            <w:tcW w:w="9072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DF1E3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268C54A" w14:textId="77777777" w:rsidR="00E856F7" w:rsidRDefault="00000000"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>PROPOSTA</w:t>
            </w:r>
          </w:p>
          <w:p w14:paraId="58655B5B" w14:textId="77777777" w:rsidR="00E856F7" w:rsidRDefault="00000000">
            <w:pPr>
              <w:spacing w:after="80" w:line="276" w:lineRule="auto"/>
            </w:pPr>
            <w:r>
              <w:t>Alternativa (b). Os trabalhos depositados antes da data podem seguir a norma de 2008/2019.</w:t>
            </w:r>
          </w:p>
        </w:tc>
      </w:tr>
    </w:tbl>
    <w:p w14:paraId="0780341D" w14:textId="77777777" w:rsidR="00E856F7" w:rsidRDefault="00000000">
      <w:pPr>
        <w:keepNext/>
        <w:spacing w:before="160" w:after="60"/>
      </w:pPr>
      <w:r>
        <w:rPr>
          <w:b/>
          <w:bCs/>
          <w:color w:val="1F3A5F"/>
          <w:spacing w:val="20"/>
          <w:sz w:val="16"/>
          <w:szCs w:val="16"/>
        </w:rPr>
        <w:t>JUSTIFICATIVA</w:t>
      </w:r>
    </w:p>
    <w:p w14:paraId="5C5BE465" w14:textId="77777777" w:rsidR="00E856F7" w:rsidRDefault="00000000">
      <w:pPr>
        <w:spacing w:after="120" w:line="288" w:lineRule="auto"/>
      </w:pPr>
      <w:r>
        <w:t xml:space="preserve">A transição só alcança o que é escolha da COPPE. </w:t>
      </w:r>
      <w:r>
        <w:rPr>
          <w:b/>
          <w:bCs/>
        </w:rPr>
        <w:t>O que vem do Manual e das Resoluções da UFRJ já vale</w:t>
      </w:r>
      <w:r>
        <w:t>, independentemente desta resolução: a folha adicional (desde agosto de 2026), o PDF/A, a paginação do 2.7 e a entrega exclusivamente digital.</w:t>
      </w:r>
    </w:p>
    <w:p w14:paraId="4C55E8CF" w14:textId="77777777" w:rsidR="00E856F7" w:rsidRDefault="00000000">
      <w:pPr>
        <w:pBdr>
          <w:bottom w:val="single" w:sz="4" w:space="8" w:color="D9D9D9"/>
        </w:pBdr>
        <w:spacing w:after="280"/>
      </w:pPr>
      <w:r>
        <w:rPr>
          <w:b/>
          <w:bCs/>
          <w:color w:val="595959"/>
          <w:sz w:val="19"/>
          <w:szCs w:val="19"/>
        </w:rPr>
        <w:t xml:space="preserve">Para quem escreve: </w:t>
      </w:r>
      <w:r>
        <w:rPr>
          <w:color w:val="595959"/>
          <w:sz w:val="19"/>
          <w:szCs w:val="19"/>
        </w:rPr>
        <w:t>Noventa dias dão folga às secretarias e aos discentes em fase final.</w:t>
      </w:r>
    </w:p>
    <w:p w14:paraId="16D1192E" w14:textId="77777777" w:rsidR="00E856F7" w:rsidRDefault="00000000">
      <w:r>
        <w:br w:type="page"/>
      </w:r>
    </w:p>
    <w:sectPr w:rsidR="00E856F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9E29E" w14:textId="77777777" w:rsidR="004273C0" w:rsidRDefault="004273C0">
      <w:r>
        <w:separator/>
      </w:r>
    </w:p>
  </w:endnote>
  <w:endnote w:type="continuationSeparator" w:id="0">
    <w:p w14:paraId="60302F5B" w14:textId="77777777" w:rsidR="004273C0" w:rsidRDefault="00427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6978" w14:textId="77777777" w:rsidR="00E856F7" w:rsidRDefault="00000000">
    <w:pPr>
      <w:jc w:val="right"/>
    </w:pP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734A76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5FDD8" w14:textId="77777777" w:rsidR="009629DB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0559A" w14:textId="77777777" w:rsidR="004273C0" w:rsidRDefault="004273C0">
      <w:r>
        <w:separator/>
      </w:r>
    </w:p>
  </w:footnote>
  <w:footnote w:type="continuationSeparator" w:id="0">
    <w:p w14:paraId="4944B93E" w14:textId="77777777" w:rsidR="004273C0" w:rsidRDefault="00427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60C2" w14:textId="77777777" w:rsidR="00E856F7" w:rsidRDefault="00000000">
    <w:pPr>
      <w:jc w:val="right"/>
    </w:pPr>
    <w:r>
      <w:rPr>
        <w:color w:val="595959"/>
        <w:sz w:val="16"/>
        <w:szCs w:val="16"/>
      </w:rPr>
      <w:t>Proposta de Resolução CPGP · Norma Gráfica COPPE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B35A5" w14:textId="77777777" w:rsidR="009629DB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AAA"/>
    <w:multiLevelType w:val="hybridMultilevel"/>
    <w:tmpl w:val="D89ECD7E"/>
    <w:lvl w:ilvl="0" w:tplc="D778B840">
      <w:start w:val="1"/>
      <w:numFmt w:val="bullet"/>
      <w:lvlText w:val="•"/>
      <w:lvlJc w:val="left"/>
      <w:pPr>
        <w:ind w:left="567" w:hanging="283"/>
      </w:pPr>
    </w:lvl>
    <w:lvl w:ilvl="1" w:tplc="20129800">
      <w:numFmt w:val="decimal"/>
      <w:lvlText w:val=""/>
      <w:lvlJc w:val="left"/>
    </w:lvl>
    <w:lvl w:ilvl="2" w:tplc="D458E730">
      <w:numFmt w:val="decimal"/>
      <w:lvlText w:val=""/>
      <w:lvlJc w:val="left"/>
    </w:lvl>
    <w:lvl w:ilvl="3" w:tplc="C194015C">
      <w:numFmt w:val="decimal"/>
      <w:lvlText w:val=""/>
      <w:lvlJc w:val="left"/>
    </w:lvl>
    <w:lvl w:ilvl="4" w:tplc="8E7A6486">
      <w:numFmt w:val="decimal"/>
      <w:lvlText w:val=""/>
      <w:lvlJc w:val="left"/>
    </w:lvl>
    <w:lvl w:ilvl="5" w:tplc="BF244EB4">
      <w:numFmt w:val="decimal"/>
      <w:lvlText w:val=""/>
      <w:lvlJc w:val="left"/>
    </w:lvl>
    <w:lvl w:ilvl="6" w:tplc="D0943DE6">
      <w:numFmt w:val="decimal"/>
      <w:lvlText w:val=""/>
      <w:lvlJc w:val="left"/>
    </w:lvl>
    <w:lvl w:ilvl="7" w:tplc="F5D695EC">
      <w:numFmt w:val="decimal"/>
      <w:lvlText w:val=""/>
      <w:lvlJc w:val="left"/>
    </w:lvl>
    <w:lvl w:ilvl="8" w:tplc="0F7C538A">
      <w:numFmt w:val="decimal"/>
      <w:lvlText w:val=""/>
      <w:lvlJc w:val="left"/>
    </w:lvl>
  </w:abstractNum>
  <w:abstractNum w:abstractNumId="1" w15:restartNumberingAfterBreak="0">
    <w:nsid w:val="27E120E4"/>
    <w:multiLevelType w:val="hybridMultilevel"/>
    <w:tmpl w:val="2B9418FE"/>
    <w:lvl w:ilvl="0" w:tplc="273A62BA">
      <w:start w:val="1"/>
      <w:numFmt w:val="decimal"/>
      <w:lvlText w:val="%1."/>
      <w:lvlJc w:val="left"/>
      <w:pPr>
        <w:ind w:left="567" w:hanging="340"/>
      </w:pPr>
    </w:lvl>
    <w:lvl w:ilvl="1" w:tplc="01DA49EA">
      <w:numFmt w:val="decimal"/>
      <w:lvlText w:val=""/>
      <w:lvlJc w:val="left"/>
    </w:lvl>
    <w:lvl w:ilvl="2" w:tplc="0DD623B0">
      <w:numFmt w:val="decimal"/>
      <w:lvlText w:val=""/>
      <w:lvlJc w:val="left"/>
    </w:lvl>
    <w:lvl w:ilvl="3" w:tplc="9F889476">
      <w:numFmt w:val="decimal"/>
      <w:lvlText w:val=""/>
      <w:lvlJc w:val="left"/>
    </w:lvl>
    <w:lvl w:ilvl="4" w:tplc="0F8AA884">
      <w:numFmt w:val="decimal"/>
      <w:lvlText w:val=""/>
      <w:lvlJc w:val="left"/>
    </w:lvl>
    <w:lvl w:ilvl="5" w:tplc="44B8B27A">
      <w:numFmt w:val="decimal"/>
      <w:lvlText w:val=""/>
      <w:lvlJc w:val="left"/>
    </w:lvl>
    <w:lvl w:ilvl="6" w:tplc="A142DA2C">
      <w:numFmt w:val="decimal"/>
      <w:lvlText w:val=""/>
      <w:lvlJc w:val="left"/>
    </w:lvl>
    <w:lvl w:ilvl="7" w:tplc="60AAD07C">
      <w:numFmt w:val="decimal"/>
      <w:lvlText w:val=""/>
      <w:lvlJc w:val="left"/>
    </w:lvl>
    <w:lvl w:ilvl="8" w:tplc="BD560CD2">
      <w:numFmt w:val="decimal"/>
      <w:lvlText w:val=""/>
      <w:lvlJc w:val="left"/>
    </w:lvl>
  </w:abstractNum>
  <w:abstractNum w:abstractNumId="2" w15:restartNumberingAfterBreak="0">
    <w:nsid w:val="65B8185B"/>
    <w:multiLevelType w:val="hybridMultilevel"/>
    <w:tmpl w:val="820474AE"/>
    <w:lvl w:ilvl="0" w:tplc="CE226E40">
      <w:start w:val="1"/>
      <w:numFmt w:val="bullet"/>
      <w:lvlText w:val="●"/>
      <w:lvlJc w:val="left"/>
      <w:pPr>
        <w:ind w:left="720" w:hanging="360"/>
      </w:pPr>
    </w:lvl>
    <w:lvl w:ilvl="1" w:tplc="1EDA0E78">
      <w:start w:val="1"/>
      <w:numFmt w:val="bullet"/>
      <w:lvlText w:val="○"/>
      <w:lvlJc w:val="left"/>
      <w:pPr>
        <w:ind w:left="1440" w:hanging="360"/>
      </w:pPr>
    </w:lvl>
    <w:lvl w:ilvl="2" w:tplc="66BCBAFA">
      <w:start w:val="1"/>
      <w:numFmt w:val="bullet"/>
      <w:lvlText w:val="■"/>
      <w:lvlJc w:val="left"/>
      <w:pPr>
        <w:ind w:left="2160" w:hanging="360"/>
      </w:pPr>
    </w:lvl>
    <w:lvl w:ilvl="3" w:tplc="B644E100">
      <w:start w:val="1"/>
      <w:numFmt w:val="bullet"/>
      <w:lvlText w:val="●"/>
      <w:lvlJc w:val="left"/>
      <w:pPr>
        <w:ind w:left="2880" w:hanging="360"/>
      </w:pPr>
    </w:lvl>
    <w:lvl w:ilvl="4" w:tplc="3E9EA846">
      <w:start w:val="1"/>
      <w:numFmt w:val="bullet"/>
      <w:lvlText w:val="○"/>
      <w:lvlJc w:val="left"/>
      <w:pPr>
        <w:ind w:left="3600" w:hanging="360"/>
      </w:pPr>
    </w:lvl>
    <w:lvl w:ilvl="5" w:tplc="19EA651A">
      <w:start w:val="1"/>
      <w:numFmt w:val="bullet"/>
      <w:lvlText w:val="■"/>
      <w:lvlJc w:val="left"/>
      <w:pPr>
        <w:ind w:left="4320" w:hanging="360"/>
      </w:pPr>
    </w:lvl>
    <w:lvl w:ilvl="6" w:tplc="2F3688D0">
      <w:start w:val="1"/>
      <w:numFmt w:val="bullet"/>
      <w:lvlText w:val="●"/>
      <w:lvlJc w:val="left"/>
      <w:pPr>
        <w:ind w:left="5040" w:hanging="360"/>
      </w:pPr>
    </w:lvl>
    <w:lvl w:ilvl="7" w:tplc="3C0C069A">
      <w:start w:val="1"/>
      <w:numFmt w:val="bullet"/>
      <w:lvlText w:val="●"/>
      <w:lvlJc w:val="left"/>
      <w:pPr>
        <w:ind w:left="5760" w:hanging="360"/>
      </w:pPr>
    </w:lvl>
    <w:lvl w:ilvl="8" w:tplc="85AA2B5E">
      <w:start w:val="1"/>
      <w:numFmt w:val="bullet"/>
      <w:lvlText w:val="●"/>
      <w:lvlJc w:val="left"/>
      <w:pPr>
        <w:ind w:left="6480" w:hanging="360"/>
      </w:pPr>
    </w:lvl>
  </w:abstractNum>
  <w:num w:numId="1" w16cid:durableId="1787970359">
    <w:abstractNumId w:val="2"/>
    <w:lvlOverride w:ilvl="0">
      <w:startOverride w:val="1"/>
    </w:lvlOverride>
  </w:num>
  <w:num w:numId="2" w16cid:durableId="7485025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6F7"/>
    <w:rsid w:val="00023EE2"/>
    <w:rsid w:val="002452DD"/>
    <w:rsid w:val="004273C0"/>
    <w:rsid w:val="00734A76"/>
    <w:rsid w:val="0085185D"/>
    <w:rsid w:val="009629DB"/>
    <w:rsid w:val="009E01B7"/>
    <w:rsid w:val="00E8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CE243"/>
  <w15:docId w15:val="{FFFC32EB-A308-46BC-B228-DCADB1A0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pBdr>
        <w:bottom w:val="single" w:sz="6" w:space="4" w:color="9DB3CF"/>
      </w:pBdr>
      <w:spacing w:before="280" w:after="14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320" w:after="4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5151</Words>
  <Characters>27820</Characters>
  <Application>Microsoft Office Word</Application>
  <DocSecurity>0</DocSecurity>
  <Lines>231</Lines>
  <Paragraphs>65</Paragraphs>
  <ScaleCrop>false</ScaleCrop>
  <Company/>
  <LinksUpToDate>false</LinksUpToDate>
  <CharactersWithSpaces>32906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Resolução CPGP — Norma Gráfica COPPE 2026</dc:title>
  <dc:creator>Equipe CoppeTeX</dc:creator>
  <dc:description>Proposta de resolução e fundamentação das escolhas da COPPE diante do Manual UFRJ/SiBI 2026</dc:description>
  <cp:lastModifiedBy>Geraldo Xexéo</cp:lastModifiedBy>
  <cp:revision>3</cp:revision>
  <dcterms:created xsi:type="dcterms:W3CDTF">2026-10-09T19:25:00Z</dcterms:created>
  <dcterms:modified xsi:type="dcterms:W3CDTF">2026-10-09T19:27:00Z</dcterms:modified>
</cp:coreProperties>
</file>