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36"/>
          <w:szCs w:val="36"/>
        </w:rPr>
        <w:t xml:space="preserve">TEKLİF ÇAĞRISI TASLAĞI (RFP DRAFT)</w:t>
      </w:r>
    </w:p>
    <w:p>
      <w:pPr>
        <w:spacing w:after="400"/>
        <w:jc w:val="center"/>
      </w:pPr>
      <w:r>
        <w:rPr>
          <w:b/>
          <w:bCs/>
          <w:sz w:val="28"/>
          <w:szCs w:val="28"/>
        </w:rPr>
        <w:t xml:space="preserve">Uçtan Uca Plug&amp;Charge Destekli EV Navigasyon ve Şarj Deneyimi Platformu</w:t>
      </w:r>
    </w:p>
    <w:p>
      <w:pPr>
        <w:spacing w:after="200"/>
        <w:jc w:val="center"/>
      </w:pPr>
      <w:r>
        <w:rPr>
          <w:i/>
          <w:iCs/>
          <w:sz w:val="24"/>
          <w:szCs w:val="24"/>
        </w:rPr>
        <w:t xml:space="preserve">OCPI 2.2 Entegrasyonlu Mobil Uygulama (CarPlay Destekli)</w:t>
      </w:r>
    </w:p>
    <w:p>
      <w:pPr>
        <w:spacing w:after="600"/>
        <w:jc w:val="center"/>
      </w:pPr>
      <w:r>
        <w:rPr>
          <w:color w:val="666666"/>
          <w:sz w:val="20"/>
          <w:szCs w:val="20"/>
        </w:rPr>
        <w:t xml:space="preserve">Tarih: 24 Ekim 2026 | Versiyon: 1.0 (Taslak)</w:t>
      </w:r>
    </w:p>
    <w:p>
      <w:pPr>
        <w:pStyle w:val="Heading1"/>
      </w:pPr>
      <w:r>
        <w:t xml:space="preserve">1. Giriş ve Proje Özeti</w:t>
      </w:r>
    </w:p>
    <w:p>
      <w:pPr>
        <w:spacing w:after="200"/>
      </w:pPr>
      <w:r>
        <w:t xml:space="preserve">Bu RFP taslağı, elektrikli araç (EV) kullanıcıları için uçtan uca bir şarj deneyimi sunmayı hedefleyen yeni bir platform projesinin gereksinimlerini tanımlamaktadır. Proje, ABRP (A Better Routeplanner) benzeri navigasyon ve rota planlama özelliklerini CarPlay destekli bir mobil uygulama üzerinden sunarken, Plug&amp;Charge (ISO 15118) ile tamamen otomatik şarj başlatma ve ödeme süreçlerini birleştirmeyi amaçlamaktadır.</w:t>
      </w:r>
    </w:p>
    <w:p>
      <w:pPr>
        <w:spacing w:after="200"/>
      </w:pPr>
      <w:r>
        <w:t xml:space="preserve">Hedef, müşterinin üyelik süreçleriyle uğraşmadan, fişi takar takmaz şarj oturumunun başlaması ve ödemenin otomatik gerçekleşmesidir. Sistem, OCPI 2.2 üzerinden CPO’lar ve eMSP rolleriyle entegre çalışacak; EPDK telemetri verileriyle gerçek zamanlı soket durumu ve doluluk bilgisi sağlayacaktır.</w:t>
      </w:r>
    </w:p>
    <w:p>
      <w:pPr>
        <w:pStyle w:val="Heading1"/>
      </w:pPr>
      <w:r>
        <w:t xml:space="preserve">2. Arka Plan ve Amaç</w:t>
      </w:r>
    </w:p>
    <w:p>
      <w:pPr>
        <w:spacing w:after="120"/>
      </w:pPr>
      <w:r>
        <w:t xml:space="preserve">Mevcut şarj ekosisteminde kullanıcılar genellikle her CPO için ayrı uygulama indirmek, üye olmak ve ödeme yöntemi tanımlamak zorunda kalmaktadır. Bu durum, özellikle uzun yolculuklarda sürtünme yaratmaktadır. Proje, aşağıdaki problemleri çözmeyi hedefler:</w:t>
      </w:r>
    </w:p>
    <w:p>
      <w:pPr>
        <w:pStyle w:val="ListParagraph"/>
        <w:numPr>
          <w:ilvl w:val="0"/>
          <w:numId w:val="2"/>
        </w:numPr>
      </w:pPr>
      <w:r>
        <w:t xml:space="preserve">Üyelik ve uygulama çeşitliliğinden kaynaklanan kullanıcı deneyimi karmaşası</w:t>
      </w:r>
    </w:p>
    <w:p>
      <w:pPr>
        <w:pStyle w:val="ListParagraph"/>
        <w:numPr>
          <w:ilvl w:val="0"/>
          <w:numId w:val="2"/>
        </w:numPr>
      </w:pPr>
      <w:r>
        <w:t xml:space="preserve">Plug&amp;Charge desteğinin sınırlı ve dağınık olması</w:t>
      </w:r>
    </w:p>
    <w:p>
      <w:pPr>
        <w:pStyle w:val="ListParagraph"/>
        <w:numPr>
          <w:ilvl w:val="0"/>
          <w:numId w:val="2"/>
        </w:numPr>
      </w:pPr>
      <w:r>
        <w:t xml:space="preserve">Gerçek zamanlı soket müsaitlik bilgisinin rota planlamasına entegre olmaması</w:t>
      </w:r>
    </w:p>
    <w:p>
      <w:pPr>
        <w:pStyle w:val="ListParagraph"/>
        <w:numPr>
          <w:ilvl w:val="0"/>
          <w:numId w:val="2"/>
        </w:numPr>
        <w:spacing w:after="200"/>
      </w:pPr>
      <w:r>
        <w:t xml:space="preserve">Misafir (kayıtlı olmayan) kullanıcılar için tek seferlik, güvenli ödeme akışının eksikliği</w:t>
      </w:r>
    </w:p>
    <w:p>
      <w:pPr>
        <w:pStyle w:val="Heading1"/>
      </w:pPr>
      <w:r>
        <w:t xml:space="preserve">3. Proje Kapsamı</w:t>
      </w:r>
    </w:p>
    <w:p>
      <w:pPr>
        <w:spacing w:after="120"/>
      </w:pPr>
      <w:r>
        <w:t xml:space="preserve">Proje aşağıdaki ana bileşenleri kapsamaktadır:</w:t>
      </w:r>
    </w:p>
    <w:p>
      <w:pPr>
        <w:pStyle w:val="ListParagraph"/>
        <w:numPr>
          <w:ilvl w:val="0"/>
          <w:numId w:val="3"/>
        </w:numPr>
      </w:pPr>
      <w:r>
        <w:t xml:space="preserve">CarPlay ve Android Auto destekli mobil uygulama (iOS/Android)</w:t>
      </w:r>
    </w:p>
    <w:p>
      <w:pPr>
        <w:pStyle w:val="ListParagraph"/>
        <w:numPr>
          <w:ilvl w:val="0"/>
          <w:numId w:val="3"/>
        </w:numPr>
      </w:pPr>
      <w:r>
        <w:t xml:space="preserve">ABRP benzeri rota planlama, menzil tahmini ve şarj durak optimizasyonu</w:t>
      </w:r>
    </w:p>
    <w:p>
      <w:pPr>
        <w:pStyle w:val="ListParagraph"/>
        <w:numPr>
          <w:ilvl w:val="0"/>
          <w:numId w:val="3"/>
        </w:numPr>
      </w:pPr>
      <w:r>
        <w:t xml:space="preserve">OCPI 2.2 tabanlı hub/eMSP entegrasyonu (CPO’larla konum, tarife, oturum ve CDR senkronizasyonu)</w:t>
      </w:r>
    </w:p>
    <w:p>
      <w:pPr>
        <w:pStyle w:val="ListParagraph"/>
        <w:numPr>
          <w:ilvl w:val="0"/>
          <w:numId w:val="3"/>
        </w:numPr>
      </w:pPr>
      <w:r>
        <w:t xml:space="preserve">Plug&amp;Charge (ISO 15118-2 / 15118-20) destekli uçtan uca oturum başlatma</w:t>
      </w:r>
    </w:p>
    <w:p>
      <w:pPr>
        <w:pStyle w:val="ListParagraph"/>
        <w:numPr>
          <w:ilvl w:val="0"/>
          <w:numId w:val="3"/>
        </w:numPr>
      </w:pPr>
      <w:r>
        <w:t xml:space="preserve">EPDK sunucularından gerçek zamanlı soket telemetrisi (müsaitlik, güç, durum)</w:t>
      </w:r>
    </w:p>
    <w:p>
      <w:pPr>
        <w:pStyle w:val="ListParagraph"/>
        <w:numPr>
          <w:ilvl w:val="0"/>
          <w:numId w:val="3"/>
        </w:numPr>
      </w:pPr>
      <w:r>
        <w:t xml:space="preserve">Misafir kullanıcılar için tek seferlik kredi kartı + açık rıza (KVKK uyumlu) akışı</w:t>
      </w:r>
    </w:p>
    <w:p>
      <w:pPr>
        <w:pStyle w:val="ListParagraph"/>
        <w:numPr>
          <w:ilvl w:val="0"/>
          <w:numId w:val="3"/>
        </w:numPr>
        <w:spacing w:after="200"/>
      </w:pPr>
      <w:r>
        <w:t xml:space="preserve">OCPP 2.0.1 / 2.1 uyumlu CSMS tarafı ile sertifika ve yetkilendirme mesajları</w:t>
      </w:r>
    </w:p>
    <w:p>
      <w:pPr>
        <w:pStyle w:val="Heading1"/>
      </w:pPr>
      <w:r>
        <w:t xml:space="preserve">4. Fonksiyonel Gereksinimler</w:t>
      </w:r>
    </w:p>
    <w:p>
      <w:pPr>
        <w:pStyle w:val="Heading2"/>
      </w:pPr>
      <w:r>
        <w:t xml:space="preserve">4.1 Navigasyon ve Rota Planlama</w:t>
      </w:r>
    </w:p>
    <w:p>
      <w:pPr>
        <w:pStyle w:val="ListParagraph"/>
        <w:numPr>
          <w:ilvl w:val="0"/>
          <w:numId w:val="2"/>
        </w:numPr>
      </w:pPr>
      <w:r>
        <w:t xml:space="preserve">CarPlay / Android Auto üzerinde tam rota deneyimi</w:t>
      </w:r>
    </w:p>
    <w:p>
      <w:pPr>
        <w:pStyle w:val="ListParagraph"/>
        <w:numPr>
          <w:ilvl w:val="0"/>
          <w:numId w:val="2"/>
        </w:numPr>
      </w:pPr>
      <w:r>
        <w:t xml:space="preserve">Araç modeli, batarya durumu, hava ve trafik verilerine göre menzil tahmini</w:t>
      </w:r>
    </w:p>
    <w:p>
      <w:pPr>
        <w:pStyle w:val="ListParagraph"/>
        <w:numPr>
          <w:ilvl w:val="0"/>
          <w:numId w:val="2"/>
        </w:numPr>
      </w:pPr>
      <w:r>
        <w:t xml:space="preserve">Şarj duraklarının otomatik önerilmesi ve EPDK telemetrisiyle müsaitlik kontrolü</w:t>
      </w:r>
    </w:p>
    <w:p>
      <w:pPr>
        <w:pStyle w:val="ListParagraph"/>
        <w:numPr>
          <w:ilvl w:val="0"/>
          <w:numId w:val="2"/>
        </w:numPr>
        <w:spacing w:after="120"/>
      </w:pPr>
      <w:r>
        <w:t xml:space="preserve">Çoklu durak ve alternatif rota seçenekleri</w:t>
      </w:r>
    </w:p>
    <w:p>
      <w:pPr>
        <w:pStyle w:val="Heading2"/>
      </w:pPr>
      <w:r>
        <w:t xml:space="preserve">4.2 Plug&amp;Charge ve Ödeme</w:t>
      </w:r>
    </w:p>
    <w:p>
      <w:pPr>
        <w:pStyle w:val="ListParagraph"/>
        <w:numPr>
          <w:ilvl w:val="0"/>
          <w:numId w:val="2"/>
        </w:numPr>
      </w:pPr>
      <w:r>
        <w:t xml:space="preserve">ISO 15118 tabanlı otomatik kimlik doğrulama ve oturum başlatma</w:t>
      </w:r>
    </w:p>
    <w:p>
      <w:pPr>
        <w:pStyle w:val="ListParagraph"/>
        <w:numPr>
          <w:ilvl w:val="0"/>
          <w:numId w:val="2"/>
        </w:numPr>
      </w:pPr>
      <w:r>
        <w:t xml:space="preserve">Kayıtlı kullanıcılar için kayıtlı ödeme yöntemi ile otomatik tahsilat</w:t>
      </w:r>
    </w:p>
    <w:p>
      <w:pPr>
        <w:pStyle w:val="ListParagraph"/>
        <w:numPr>
          <w:ilvl w:val="0"/>
          <w:numId w:val="2"/>
        </w:numPr>
      </w:pPr>
      <w:r>
        <w:t xml:space="preserve">Misafir kullanıcılar için defaya mahsus kart tanımı + açık rıza metni</w:t>
      </w:r>
    </w:p>
    <w:p>
      <w:pPr>
        <w:pStyle w:val="ListParagraph"/>
        <w:numPr>
          <w:ilvl w:val="0"/>
          <w:numId w:val="2"/>
        </w:numPr>
        <w:spacing w:after="120"/>
      </w:pPr>
      <w:r>
        <w:t xml:space="preserve">OCPI CDR ve faturalandırma süreçleri</w:t>
      </w:r>
    </w:p>
    <w:p>
      <w:pPr>
        <w:pStyle w:val="Heading2"/>
      </w:pPr>
      <w:r>
        <w:t xml:space="preserve">4.3 Veri ve Telemetri</w:t>
      </w:r>
    </w:p>
    <w:p>
      <w:pPr>
        <w:pStyle w:val="ListParagraph"/>
        <w:numPr>
          <w:ilvl w:val="0"/>
          <w:numId w:val="2"/>
        </w:numPr>
      </w:pPr>
      <w:r>
        <w:t xml:space="preserve">EPDK API / veri paylaşımı üzerinden en yakın soketlerin durumu</w:t>
      </w:r>
    </w:p>
    <w:p>
      <w:pPr>
        <w:pStyle w:val="ListParagraph"/>
        <w:numPr>
          <w:ilvl w:val="0"/>
          <w:numId w:val="2"/>
        </w:numPr>
      </w:pPr>
      <w:r>
        <w:t xml:space="preserve">OCPI 2.2 Locations, Tariffs, Sessions, CDRs modülleri</w:t>
      </w:r>
    </w:p>
    <w:p>
      <w:pPr>
        <w:pStyle w:val="ListParagraph"/>
        <w:numPr>
          <w:ilvl w:val="0"/>
          <w:numId w:val="2"/>
        </w:numPr>
        <w:spacing w:after="200"/>
      </w:pPr>
      <w:r>
        <w:t xml:space="preserve">Gerçek zamanlı müsaitlik ve güç bilgisi güncellemesi</w:t>
      </w:r>
    </w:p>
    <w:p>
      <w:pPr>
        <w:pStyle w:val="Heading1"/>
      </w:pPr>
      <w:r>
        <w:t xml:space="preserve">5. Teknik Gereksinimler</w:t>
      </w:r>
    </w:p>
    <w:p>
      <w:pPr>
        <w:pStyle w:val="Heading2"/>
      </w:pPr>
      <w:r>
        <w:t xml:space="preserve">5.1 Standartlar ve Protokoller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Bileşen</w:t>
            </w:r>
          </w:p>
        </w:tc>
        <w:tc>
          <w:tcPr>
            <w:tcW w:type="dxa" w:w="68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Gereksinim</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OCPI</w:t>
            </w:r>
          </w:p>
        </w:tc>
        <w:tc>
          <w:tcPr>
            <w:tcW w:type="dxa" w:w="6838"/>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OCPI 2.2 (hub header’ları, CdrToken, akıllı şarj modülü desteği)</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OCPP</w:t>
            </w:r>
          </w:p>
        </w:tc>
        <w:tc>
          <w:tcPr>
            <w:tcW w:type="dxa" w:w="6838"/>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OCPP 2.0.1 / 2.1 (Authorize eMAID, Get15118EVCertificate, SignCertificate, güvenlik profili 3)</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ISO 15118</w:t>
            </w:r>
          </w:p>
        </w:tc>
        <w:tc>
          <w:tcPr>
            <w:tcW w:type="dxa" w:w="6838"/>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ISO 15118-2 ve 15118-20 (Plug&amp;Charge, PKI, OCSP stapling)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EPDK</w:t>
            </w:r>
          </w:p>
        </w:tc>
        <w:tc>
          <w:tcPr>
            <w:tcW w:type="dxa" w:w="6838"/>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Resmi veri paylaşımı / API üzerinden telemetri (müsaitlik, durum)</w:t>
            </w:r>
          </w:p>
        </w:tc>
      </w:tr>
    </w:tbl>
    <w:p>
      <w:pPr>
        <w:spacing w:after="120" w:before="200"/>
      </w:pPr>
      <w:r>
        <w:t xml:space="preserve"/>
      </w:r>
    </w:p>
    <w:p>
      <w:pPr>
        <w:pStyle w:val="Heading2"/>
      </w:pPr>
      <w:r>
        <w:t xml:space="preserve">5.2 Diğer Teknik Beklentiler</w:t>
      </w:r>
    </w:p>
    <w:p>
      <w:pPr>
        <w:pStyle w:val="ListParagraph"/>
        <w:numPr>
          <w:ilvl w:val="0"/>
          <w:numId w:val="2"/>
        </w:numPr>
      </w:pPr>
      <w:r>
        <w:t xml:space="preserve">KVKK ve ödeme mevzuatına (PCI-DSS) tam uyum</w:t>
      </w:r>
    </w:p>
    <w:p>
      <w:pPr>
        <w:pStyle w:val="ListParagraph"/>
        <w:numPr>
          <w:ilvl w:val="0"/>
          <w:numId w:val="2"/>
        </w:numPr>
      </w:pPr>
      <w:r>
        <w:t xml:space="preserve">Karşılıklı TLS ve güvenli sertifika yönetimi (TPM / HSM)</w:t>
      </w:r>
    </w:p>
    <w:p>
      <w:pPr>
        <w:pStyle w:val="ListParagraph"/>
        <w:numPr>
          <w:ilvl w:val="0"/>
          <w:numId w:val="2"/>
        </w:numPr>
      </w:pPr>
      <w:r>
        <w:t xml:space="preserve">Yüksek erişilebilirlik ve ölçeklenebilir backend mimarisi</w:t>
      </w:r>
    </w:p>
    <w:p>
      <w:pPr>
        <w:pStyle w:val="ListParagraph"/>
        <w:numPr>
          <w:ilvl w:val="0"/>
          <w:numId w:val="2"/>
        </w:numPr>
        <w:spacing w:after="200"/>
      </w:pPr>
      <w:r>
        <w:t xml:space="preserve">AFIR 2027 gereksinimlerine hazırlık (ISO 15118-2 + 15118-20)</w:t>
      </w:r>
    </w:p>
    <w:p>
      <w:pPr>
        <w:pStyle w:val="Heading1"/>
      </w:pPr>
      <w:r>
        <w:t xml:space="preserve">6. Beklenen Teslimatlar</w:t>
      </w:r>
    </w:p>
    <w:p>
      <w:pPr>
        <w:pStyle w:val="ListParagraph"/>
        <w:numPr>
          <w:ilvl w:val="0"/>
          <w:numId w:val="3"/>
        </w:numPr>
      </w:pPr>
      <w:r>
        <w:t xml:space="preserve">Detaylı teknik mimari dokümanı ve entegrasyon şemaları</w:t>
      </w:r>
    </w:p>
    <w:p>
      <w:pPr>
        <w:pStyle w:val="ListParagraph"/>
        <w:numPr>
          <w:ilvl w:val="0"/>
          <w:numId w:val="3"/>
        </w:numPr>
      </w:pPr>
      <w:r>
        <w:t xml:space="preserve">Çalışan mobil uygulama (MVP: navigasyon + temel OCPI + Plug&amp;Charge PoC)</w:t>
      </w:r>
    </w:p>
    <w:p>
      <w:pPr>
        <w:pStyle w:val="ListParagraph"/>
        <w:numPr>
          <w:ilvl w:val="0"/>
          <w:numId w:val="3"/>
        </w:numPr>
      </w:pPr>
      <w:r>
        <w:t xml:space="preserve">EPDK ve en az bir CPO ile pilot entegrasyon</w:t>
      </w:r>
    </w:p>
    <w:p>
      <w:pPr>
        <w:pStyle w:val="ListParagraph"/>
        <w:numPr>
          <w:ilvl w:val="0"/>
          <w:numId w:val="3"/>
        </w:numPr>
      </w:pPr>
      <w:r>
        <w:t xml:space="preserve">KVKK uyum raporu ve rıza metinleri</w:t>
      </w:r>
    </w:p>
    <w:p>
      <w:pPr>
        <w:pStyle w:val="ListParagraph"/>
        <w:numPr>
          <w:ilvl w:val="0"/>
          <w:numId w:val="3"/>
        </w:numPr>
        <w:spacing w:after="200"/>
      </w:pPr>
      <w:r>
        <w:t xml:space="preserve">Test planı, güvenlik denetimi ve operasyonel dokümantasyon</w:t>
      </w:r>
    </w:p>
    <w:p>
      <w:pPr>
        <w:pStyle w:val="Heading1"/>
      </w:pPr>
      <w:r>
        <w:t xml:space="preserve">7. Değerlendirme Kriterleri (Taslak)</w:t>
      </w:r>
    </w:p>
    <w:p>
      <w:pPr>
        <w:pStyle w:val="ListParagraph"/>
        <w:numPr>
          <w:ilvl w:val="0"/>
          <w:numId w:val="2"/>
        </w:numPr>
      </w:pPr>
      <w:r>
        <w:t xml:space="preserve">OCPI 2.2 ve ISO 15118 / Plug&amp;Charge deneyimi</w:t>
      </w:r>
    </w:p>
    <w:p>
      <w:pPr>
        <w:pStyle w:val="ListParagraph"/>
        <w:numPr>
          <w:ilvl w:val="0"/>
          <w:numId w:val="2"/>
        </w:numPr>
      </w:pPr>
      <w:r>
        <w:t xml:space="preserve">CarPlay / navigasyon entegrasyonu kalitesi</w:t>
      </w:r>
    </w:p>
    <w:p>
      <w:pPr>
        <w:pStyle w:val="ListParagraph"/>
        <w:numPr>
          <w:ilvl w:val="0"/>
          <w:numId w:val="2"/>
        </w:numPr>
      </w:pPr>
      <w:r>
        <w:t xml:space="preserve">EPDK ve CPO entegrasyon yetkinliği</w:t>
      </w:r>
    </w:p>
    <w:p>
      <w:pPr>
        <w:pStyle w:val="ListParagraph"/>
        <w:numPr>
          <w:ilvl w:val="0"/>
          <w:numId w:val="2"/>
        </w:numPr>
      </w:pPr>
      <w:r>
        <w:t xml:space="preserve">KVKK ve güvenlik yaklaşımı</w:t>
      </w:r>
    </w:p>
    <w:p>
      <w:pPr>
        <w:pStyle w:val="ListParagraph"/>
        <w:numPr>
          <w:ilvl w:val="0"/>
          <w:numId w:val="2"/>
        </w:numPr>
        <w:spacing w:after="200"/>
      </w:pPr>
      <w:r>
        <w:t xml:space="preserve">Teknik ekip deneyimi ve referanslar</w:t>
      </w:r>
    </w:p>
    <w:p>
      <w:pPr>
        <w:pStyle w:val="Heading1"/>
      </w:pPr>
      <w:r>
        <w:t xml:space="preserve">8. Sonraki Adımlar</w:t>
      </w:r>
    </w:p>
    <w:p>
      <w:pPr>
        <w:spacing w:after="120"/>
      </w:pPr>
      <w:r>
        <w:t xml:space="preserve">Bu taslak, konuşma geçmişinden derlenmiş bir başlangıç belgesidir. Aşağıdaki noktaların netleştirilmesi önerilir:</w:t>
      </w:r>
    </w:p>
    <w:p>
      <w:pPr>
        <w:pStyle w:val="ListParagraph"/>
        <w:numPr>
          <w:ilvl w:val="0"/>
          <w:numId w:val="2"/>
        </w:numPr>
      </w:pPr>
      <w:r>
        <w:t xml:space="preserve">Hedef pazar (Türkiye öncelikli, Avrupa genişlemesi?)</w:t>
      </w:r>
    </w:p>
    <w:p>
      <w:pPr>
        <w:pStyle w:val="ListParagraph"/>
        <w:numPr>
          <w:ilvl w:val="0"/>
          <w:numId w:val="2"/>
        </w:numPr>
      </w:pPr>
      <w:r>
        <w:t xml:space="preserve">EPDK ile resmi veri paylaşım süreci ve mevcut bağlantı durumu</w:t>
      </w:r>
    </w:p>
    <w:p>
      <w:pPr>
        <w:pStyle w:val="ListParagraph"/>
        <w:numPr>
          <w:ilvl w:val="0"/>
          <w:numId w:val="2"/>
        </w:numPr>
      </w:pPr>
      <w:r>
        <w:t xml:space="preserve">İlk pilot CPO’lar ve zaman çizelgesi</w:t>
      </w:r>
    </w:p>
    <w:p>
      <w:pPr>
        <w:pStyle w:val="ListParagraph"/>
        <w:numPr>
          <w:ilvl w:val="0"/>
          <w:numId w:val="2"/>
        </w:numPr>
        <w:spacing w:after="300"/>
      </w:pPr>
      <w:r>
        <w:t xml:space="preserve">Bütçe aralığı ve ekip yapısı beklentileri</w:t>
      </w:r>
    </w:p>
    <w:p>
      <w:pPr>
        <w:spacing w:before="200"/>
      </w:pPr>
      <w:r>
        <w:rPr>
          <w:i/>
          <w:iCs/>
          <w:color w:val="666666"/>
        </w:rPr>
        <w:t xml:space="preserve">Not: Bu belge taslak niteliğindedir ve proje sahibinin (Ali – kendi oluşumu) yönlendirmesiyle güncellenecektir.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Gizli – Taslak | Sayfa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RFP Taslağı – EV Şarj Deneyimi Platformu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2026-10-24T19:32:48.031Z</dcterms:created>
  <dcterms:modified xsi:type="dcterms:W3CDTF">2026-10-24T19:32:48.032Z</dcterms:modified>
</cp:coreProperties>
</file>

<file path=docProps/custom.xml><?xml version="1.0" encoding="utf-8"?>
<Properties xmlns="http://schemas.openxmlformats.org/officeDocument/2006/custom-properties" xmlns:vt="http://schemas.openxmlformats.org/officeDocument/2006/docPropsVTypes"/>
</file>