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REQUEST FOR PROPOSAL (RFP)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Elektrikli Araç Şarj Altyapısı Entegrasyonu ve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Mobil Navigasyon Platformu</w:t>
      </w:r>
    </w:p>
    <w:p>
      <w:pPr>
        <w:spacing w:after="100"/>
        <w:jc w:val="center"/>
      </w:pPr>
      <w:r>
        <w:rPr>
          <w:i/>
          <w:iCs/>
          <w:color w:val="2E75B6"/>
          <w:sz w:val="20"/>
          <w:szCs w:val="20"/>
        </w:rPr>
        <w:t xml:space="preserve">OCPI 2.01/2.2 • ISO 15118 Plug&amp;Charge • EPDK Entegrasyonu</w:t>
      </w:r>
    </w:p>
    <w:p>
      <w:pPr>
        <w:spacing w:after="600"/>
        <w:jc w:val="center"/>
      </w:pPr>
      <w:r>
        <w:rPr>
          <w:color w:val="666666"/>
          <w:sz w:val="18"/>
          <w:szCs w:val="18"/>
        </w:rPr>
        <w:t xml:space="preserve">Başlangıç Dokümanı  |  Ekim 2026</w:t>
      </w:r>
    </w:p>
    <w:p>
      <w:pPr>
        <w:pStyle w:val="Heading1"/>
      </w:pPr>
      <w:r>
        <w:t xml:space="preserve">1. Amaç ve Kapsam</w:t>
      </w:r>
    </w:p>
    <w:p>
      <w:pPr>
        <w:spacing w:after="160"/>
      </w:pPr>
      <w:r>
        <w:t xml:space="preserve">Bu RFP, Türkiye ve Avrupa pazarında faaliyet gösterecek, uçtan uca elektrikli araç (EV) şarj deneyimi sunan bir mobil navigasyon ve şarj orkestrasyon platformunun geliştirilmesi için teklif alınması amacıyla hazırlanmıştır.</w:t>
      </w:r>
    </w:p>
    <w:p>
      <w:pPr>
        <w:spacing w:after="160"/>
      </w:pPr>
      <w:r>
        <w:t xml:space="preserve">Platform; rota planlama, dinamik şarj durak optimizasyonu, OCPI tabanlı CPO entegrasyonu, ISO 15118 Plug&amp;Charge politikası yönetimi ve tek seferlik ödeme akışlarını kapsar. Temel hedef, üyelik zorunluluğu olmadan, şeffaf fiyatlandırma ve yüksek güvenilirlikle şarj deneyimi sunmaktır.</w:t>
      </w:r>
    </w:p>
    <w:p>
      <w:pPr>
        <w:pStyle w:val="Heading1"/>
      </w:pPr>
      <w:r>
        <w:t xml:space="preserve">2. Proje Özeti</w:t>
      </w:r>
    </w:p>
    <w:p>
      <w:pPr>
        <w:spacing w:after="120"/>
      </w:pPr>
      <w:r>
        <w:t xml:space="preserve">Sistem, ABRP benzeri bir navigasyon deneyimi sunarken aşağıdaki temel yeteneklere sahip olacaktır:</w:t>
      </w:r>
    </w:p>
    <w:p>
      <w:pPr>
        <w:pStyle w:val="ListParagraph"/>
        <w:numPr>
          <w:ilvl w:val="0"/>
          <w:numId w:val="2"/>
        </w:numPr>
      </w:pPr>
      <w:r>
        <w:t xml:space="preserve">iOS ve Android mobil uygulama (tek kod tabanı tercih edilir) + CarPlay / Android Auto yansıması</w:t>
      </w:r>
    </w:p>
    <w:p>
      <w:pPr>
        <w:pStyle w:val="ListParagraph"/>
        <w:numPr>
          <w:ilvl w:val="0"/>
          <w:numId w:val="2"/>
        </w:numPr>
      </w:pPr>
      <w:r>
        <w:t xml:space="preserve">EPDK şarj altyapısı verisi (konum, durum, fiyat, availability) entegrasyonu</w:t>
      </w:r>
    </w:p>
    <w:p>
      <w:pPr>
        <w:pStyle w:val="ListParagraph"/>
        <w:numPr>
          <w:ilvl w:val="0"/>
          <w:numId w:val="2"/>
        </w:numPr>
      </w:pPr>
      <w:r>
        <w:t xml:space="preserve">OCPI 2.01 ve 2.2 uyumlu eMSP rolü (Locations, Sessions, CDRs, Tariffs, Token Authorization)</w:t>
      </w:r>
    </w:p>
    <w:p>
      <w:pPr>
        <w:pStyle w:val="ListParagraph"/>
        <w:numPr>
          <w:ilvl w:val="0"/>
          <w:numId w:val="2"/>
        </w:numPr>
      </w:pPr>
      <w:r>
        <w:t xml:space="preserve">Plug&amp;Charge Registration ve Customization menüleri (başlatma butonu yoktur)</w:t>
      </w:r>
    </w:p>
    <w:p>
      <w:pPr>
        <w:pStyle w:val="ListParagraph"/>
        <w:numPr>
          <w:ilvl w:val="0"/>
          <w:numId w:val="2"/>
        </w:numPr>
      </w:pPr>
      <w:r>
        <w:t xml:space="preserve">Kayıtsız kullanıcı için tek seferlik kredi kartı + açık rıza akışı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Dinamik şarj planlama (SOC, hava, trafik, fiyat eşiği, operatör politikası)</w:t>
      </w:r>
    </w:p>
    <w:p>
      <w:pPr>
        <w:pStyle w:val="Heading1"/>
      </w:pPr>
      <w:r>
        <w:t xml:space="preserve">3. Fonksiyonel Gereksinimler</w:t>
      </w:r>
    </w:p>
    <w:p>
      <w:pPr>
        <w:pStyle w:val="Heading2"/>
      </w:pPr>
      <w:r>
        <w:t xml:space="preserve">3.1 Mobil Uygulama ve CarPlay</w:t>
      </w:r>
    </w:p>
    <w:p>
      <w:pPr>
        <w:spacing w:after="120"/>
      </w:pPr>
      <w:r>
        <w:t xml:space="preserve">Ana uygulama rota çizimi, şarj durağı önerisi, fiyat ve availability görüntüleme, Plug&amp;Charge politika ayarları ve ödeme onayını içerir. CarPlay / Android Auto katmanı yalnızca navigasyon, şarj durumu ve politika özetini yansıtır.</w:t>
      </w:r>
    </w:p>
    <w:p>
      <w:pPr>
        <w:pStyle w:val="Heading2"/>
      </w:pPr>
      <w:r>
        <w:t xml:space="preserve">3.2 Plug&amp;Charge Registration ve Customization</w:t>
      </w:r>
    </w:p>
    <w:p>
      <w:pPr>
        <w:spacing w:after="100"/>
      </w:pPr>
      <w:r>
        <w:t xml:space="preserve">Kritik not: Sistemde “Plug&amp;Charge Başlat” gibi bir etkileşim bulunmamaktadır. Plug&amp;Charge doğası gereği otomatik gerçekleşir. Bunun yerine iki ayrı menü tanımlanır:</w:t>
      </w:r>
    </w:p>
    <w:p>
      <w:pPr>
        <w:pStyle w:val="ListParagraph"/>
        <w:numPr>
          <w:ilvl w:val="0"/>
          <w:numId w:val="2"/>
        </w:numPr>
      </w:pPr>
      <w:r>
        <w:t xml:space="preserve">Registration: ISO 15118 kimlik sertifikası oluşturma, yenileme, iptal ve yönetiminin eMSP tarafında gerçekleştirilmesi.</w:t>
      </w:r>
    </w:p>
    <w:p>
      <w:pPr>
        <w:pStyle w:val="ListParagraph"/>
        <w:numPr>
          <w:ilvl w:val="0"/>
          <w:numId w:val="2"/>
        </w:numPr>
      </w:pPr>
      <w:r>
        <w:t xml:space="preserve">Customization (Politika): Kullanıcı tanımlı kurallar. Örnekler:</w:t>
      </w:r>
    </w:p>
    <w:p>
      <w:pPr>
        <w:pStyle w:val="ListParagraph"/>
        <w:numPr>
          <w:ilvl w:val="0"/>
          <w:numId w:val="2"/>
        </w:numPr>
        <w:ind w:left="720"/>
      </w:pPr>
      <w:r>
        <w:t xml:space="preserve">kWh başına fiyat eşiği (ör. 13 TL üzeri operatörleri filtrele)</w:t>
      </w:r>
    </w:p>
    <w:p>
      <w:pPr>
        <w:pStyle w:val="ListParagraph"/>
        <w:numPr>
          <w:ilvl w:val="0"/>
          <w:numId w:val="2"/>
        </w:numPr>
        <w:ind w:left="720"/>
      </w:pPr>
      <w:r>
        <w:t xml:space="preserve">Operatör bazlı izin / engelleme listesi</w:t>
      </w:r>
    </w:p>
    <w:p>
      <w:pPr>
        <w:pStyle w:val="ListParagraph"/>
        <w:numPr>
          <w:ilvl w:val="0"/>
          <w:numId w:val="2"/>
        </w:numPr>
        <w:ind w:left="720"/>
      </w:pPr>
      <w:r>
        <w:t xml:space="preserve">Minimum şarj hızı (kW)</w:t>
      </w:r>
    </w:p>
    <w:p>
      <w:pPr>
        <w:pStyle w:val="ListParagraph"/>
        <w:numPr>
          <w:ilvl w:val="0"/>
          <w:numId w:val="2"/>
        </w:numPr>
        <w:spacing w:after="160"/>
        <w:ind w:left="720"/>
      </w:pPr>
      <w:r>
        <w:t xml:space="preserve">Rota koridoru önceliklendirme tercihleri</w:t>
      </w:r>
    </w:p>
    <w:p>
      <w:pPr>
        <w:spacing w:after="160"/>
      </w:pPr>
      <w:r>
        <w:t xml:space="preserve">Bu politikalar istemci tarafında saklanır ve sunucu tarafında OCPI Token Authorization modülüne yansıtılır. Pahalı veya engelli operatörün token’ı hiç authorize edilmez.</w:t>
      </w:r>
    </w:p>
    <w:p>
      <w:pPr>
        <w:pStyle w:val="Heading2"/>
      </w:pPr>
      <w:r>
        <w:t xml:space="preserve">3.3 Şarj Planlama ve Optimizasyon</w:t>
      </w:r>
    </w:p>
    <w:p>
      <w:pPr>
        <w:spacing w:after="120"/>
      </w:pPr>
      <w:r>
        <w:t xml:space="preserve">Rota girildiğinde sistem aşağıdaki parametreleri bir araya getirerek dinamik programlama ile şarj duraklarını ve şarj miktarlarını optimize eder:</w:t>
      </w:r>
    </w:p>
    <w:p>
      <w:pPr>
        <w:pStyle w:val="ListParagraph"/>
        <w:numPr>
          <w:ilvl w:val="0"/>
          <w:numId w:val="2"/>
        </w:numPr>
      </w:pPr>
      <w:r>
        <w:t xml:space="preserve">Mevcut SOC, batarya kapasitesi ve verimlilik eğrisi</w:t>
      </w:r>
    </w:p>
    <w:p>
      <w:pPr>
        <w:pStyle w:val="ListParagraph"/>
        <w:numPr>
          <w:ilvl w:val="0"/>
          <w:numId w:val="2"/>
        </w:numPr>
      </w:pPr>
      <w:r>
        <w:t xml:space="preserve">Rota boyunca hava durumu tahmini (sıcaklık kaynaklı menzil kaybı)</w:t>
      </w:r>
    </w:p>
    <w:p>
      <w:pPr>
        <w:pStyle w:val="ListParagraph"/>
        <w:numPr>
          <w:ilvl w:val="0"/>
          <w:numId w:val="2"/>
        </w:numPr>
      </w:pPr>
      <w:r>
        <w:t xml:space="preserve">Anlık ve öngörülen trafik</w:t>
      </w:r>
    </w:p>
    <w:p>
      <w:pPr>
        <w:pStyle w:val="ListParagraph"/>
        <w:numPr>
          <w:ilvl w:val="0"/>
          <w:numId w:val="2"/>
        </w:numPr>
      </w:pPr>
      <w:r>
        <w:t xml:space="preserve">EPDK / OCPI üzerinden soket konumu, güç, fiyat ve availability</w:t>
      </w:r>
    </w:p>
    <w:p>
      <w:pPr>
        <w:pStyle w:val="ListParagraph"/>
        <w:numPr>
          <w:ilvl w:val="0"/>
          <w:numId w:val="2"/>
        </w:numPr>
      </w:pPr>
      <w:r>
        <w:t xml:space="preserve">Kullanıcı politikaları (fiyat eşiği, operatör, min kW)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Hedef varış SOC, maksimum şarj süresi, yokuş ve ağırlık etkisi</w:t>
      </w:r>
    </w:p>
    <w:p>
      <w:pPr>
        <w:pStyle w:val="Heading1"/>
      </w:pPr>
      <w:r>
        <w:t xml:space="preserve">4. Teknik Mimari (Yüksek Seviye)</w:t>
      </w:r>
    </w:p>
    <w:p>
      <w:pPr>
        <w:spacing w:after="100"/>
      </w:pPr>
      <w:r>
        <w:t xml:space="preserve">Önerilen katmanlar:</w:t>
      </w:r>
    </w:p>
    <w:p>
      <w:pPr>
        <w:pStyle w:val="ListParagraph"/>
        <w:numPr>
          <w:ilvl w:val="0"/>
          <w:numId w:val="3"/>
        </w:numPr>
      </w:pPr>
      <w:r>
        <w:t xml:space="preserve">İstemci Katmanı: React Native veya Flutter + ayrı CarPlay/Android Auto UI katmanı.</w:t>
      </w:r>
    </w:p>
    <w:p>
      <w:pPr>
        <w:pStyle w:val="ListParagraph"/>
        <w:numPr>
          <w:ilvl w:val="0"/>
          <w:numId w:val="3"/>
        </w:numPr>
      </w:pPr>
      <w:r>
        <w:t xml:space="preserve">API Gateway: Rate limiting, JWT, CPO API key yönetimi.</w:t>
      </w:r>
    </w:p>
    <w:p>
      <w:pPr>
        <w:pStyle w:val="ListParagraph"/>
        <w:numPr>
          <w:ilvl w:val="0"/>
          <w:numId w:val="3"/>
        </w:numPr>
      </w:pPr>
      <w:r>
        <w:t xml:space="preserve">Çekirdek Servisler: Rota motoru (OSRM/GraphHopper), Şarj Orkestrasyon (OCPI Sessions), Telemetri (EPDK polling), Ödeme servisi.</w:t>
      </w:r>
    </w:p>
    <w:p>
      <w:pPr>
        <w:pStyle w:val="ListParagraph"/>
        <w:numPr>
          <w:ilvl w:val="0"/>
          <w:numId w:val="3"/>
        </w:numPr>
      </w:pPr>
      <w:r>
        <w:t xml:space="preserve">OCPI Adaptör Katmanı: CPO başına adaptör + 2.01/2.2 uyumluluk katmanı.</w:t>
      </w:r>
    </w:p>
    <w:p>
      <w:pPr>
        <w:pStyle w:val="ListParagraph"/>
        <w:numPr>
          <w:ilvl w:val="0"/>
          <w:numId w:val="3"/>
        </w:numPr>
      </w:pPr>
      <w:r>
        <w:t xml:space="preserve">Veri Katmanı: PostgreSQL, Redis, TimescaleDB (availability zaman serisi), nesne depolama (CDR arşivi).</w:t>
      </w:r>
    </w:p>
    <w:p>
      <w:pPr>
        <w:pStyle w:val="ListParagraph"/>
        <w:numPr>
          <w:ilvl w:val="0"/>
          <w:numId w:val="3"/>
        </w:numPr>
      </w:pPr>
      <w:r>
        <w:t xml:space="preserve">Güvenlik: KVKK açık rıza, kart tokenizasyonu (PCI DSS), ISO 15118 sertifika yönetimi, mTLS.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İzleme ve Dağıtım: Prometheus/Grafana, ELK, Kubernetes (Türkiye region).</w:t>
      </w:r>
    </w:p>
    <w:p>
      <w:pPr>
        <w:pStyle w:val="Heading1"/>
      </w:pPr>
      <w:r>
        <w:t xml:space="preserve">5. Şarj Planlama Sequence Diyagramı</w:t>
      </w:r>
    </w:p>
    <w:p>
      <w:pPr>
        <w:spacing w:after="120"/>
      </w:pPr>
      <w:r>
        <w:t xml:space="preserve">Aşağıdaki diyagram, rota girildikten sonra şarj planının nasıl oluşturulduğunu göstermektedir. Planlayıcı; batarya durumu, hava, trafik, şarj ağı verisi ve Plug&amp;Charge politikasını bir araya getirerek dinamik programlama ile optimizasyon yapar. Pahalı veya engelli operatörler aday listesine hiç girmez.</w:t>
      </w:r>
    </w:p>
    <w:p>
      <w:pPr>
        <w:spacing w:after="200" w:before="200"/>
        <w:jc w:val="center"/>
      </w:pPr>
      <w:r>
        <w:drawing>
          <wp:inline distT="0" distB="0" distL="0" distR="0">
            <wp:extent cx="4953000" cy="3714750"/>
            <wp:effectExtent t="0" r="0" b="0" l="0"/>
            <wp:docPr id="1" name="Şarj Planlama Sequence Diyagramı" descr="Kullanıcı rota girdiğinde şarj planlayıcının SOC, hava, trafik, CPO ve Plug&amp;Charge politikası ile etkileşimini gösteren sequence diyagramı" title="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sz w:val="20"/>
          <w:szCs w:val="20"/>
        </w:rPr>
        <w:t xml:space="preserve">Not: Planlayıcı artımlı optimizasyon kullanır. Yolda availability veya trafik değiştiğinde önceki planı başlangıç noktası alarak yeniden hesaplar.</w:t>
      </w:r>
    </w:p>
    <w:p>
      <w:pPr>
        <w:pStyle w:val="Heading1"/>
      </w:pPr>
      <w:r>
        <w:t xml:space="preserve">6. Güvenlik, Gizlilik ve Uyumluluk</w:t>
      </w:r>
    </w:p>
    <w:p>
      <w:pPr>
        <w:pStyle w:val="ListParagraph"/>
        <w:numPr>
          <w:ilvl w:val="0"/>
          <w:numId w:val="2"/>
        </w:numPr>
      </w:pPr>
      <w:r>
        <w:t xml:space="preserve">KVKK kapsamında açık rıza akışı; kart bilgisi asla saklanmaz, yalnızca token döner.</w:t>
      </w:r>
    </w:p>
    <w:p>
      <w:pPr>
        <w:pStyle w:val="ListParagraph"/>
        <w:numPr>
          <w:ilvl w:val="0"/>
          <w:numId w:val="2"/>
        </w:numPr>
      </w:pPr>
      <w:r>
        <w:t xml:space="preserve">PCI DSS uyumlu ödeme entegrasyonu (iyzico, PayTR veya eşdeğeri).</w:t>
      </w:r>
    </w:p>
    <w:p>
      <w:pPr>
        <w:pStyle w:val="ListParagraph"/>
        <w:numPr>
          <w:ilvl w:val="0"/>
          <w:numId w:val="2"/>
        </w:numPr>
      </w:pPr>
      <w:r>
        <w:t xml:space="preserve">ISO 15118 Plug&amp;Charge için sertifika zinciri yönetimi (eMSP tarafı).</w:t>
      </w:r>
    </w:p>
    <w:p>
      <w:pPr>
        <w:pStyle w:val="ListParagraph"/>
        <w:numPr>
          <w:ilvl w:val="0"/>
          <w:numId w:val="2"/>
        </w:numPr>
      </w:pPr>
      <w:r>
        <w:t xml:space="preserve">EPDK ve CPO bağlantılarında mTLS.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Tüm loglarda kişisel veri minimizasyonu ve erişim denetimi.</w:t>
      </w:r>
    </w:p>
    <w:p>
      <w:pPr>
        <w:pStyle w:val="Heading1"/>
      </w:pPr>
      <w:r>
        <w:t xml:space="preserve">7. Beklenen Teslimatlar</w:t>
      </w:r>
    </w:p>
    <w:p>
      <w:pPr>
        <w:pStyle w:val="ListParagraph"/>
        <w:numPr>
          <w:ilvl w:val="0"/>
          <w:numId w:val="3"/>
        </w:numPr>
      </w:pPr>
      <w:r>
        <w:t xml:space="preserve">Detaylı teknik mimari ve API spesifikasyonu</w:t>
      </w:r>
    </w:p>
    <w:p>
      <w:pPr>
        <w:pStyle w:val="ListParagraph"/>
        <w:numPr>
          <w:ilvl w:val="0"/>
          <w:numId w:val="3"/>
        </w:numPr>
      </w:pPr>
      <w:r>
        <w:t xml:space="preserve">Çalışan mobil uygulama (iOS + Android) + CarPlay prototipi</w:t>
      </w:r>
    </w:p>
    <w:p>
      <w:pPr>
        <w:pStyle w:val="ListParagraph"/>
        <w:numPr>
          <w:ilvl w:val="0"/>
          <w:numId w:val="3"/>
        </w:numPr>
      </w:pPr>
      <w:r>
        <w:t xml:space="preserve">OCPI 2.2 eMSP implementasyonu ve en az 2 CPO adaptörü</w:t>
      </w:r>
    </w:p>
    <w:p>
      <w:pPr>
        <w:pStyle w:val="ListParagraph"/>
        <w:numPr>
          <w:ilvl w:val="0"/>
          <w:numId w:val="3"/>
        </w:numPr>
      </w:pPr>
      <w:r>
        <w:t xml:space="preserve">EPDK telemetri entegrasyonu ve cache katmanı</w:t>
      </w:r>
    </w:p>
    <w:p>
      <w:pPr>
        <w:pStyle w:val="ListParagraph"/>
        <w:numPr>
          <w:ilvl w:val="0"/>
          <w:numId w:val="3"/>
        </w:numPr>
      </w:pPr>
      <w:r>
        <w:t xml:space="preserve">Plug&amp;Charge Registration &amp; Customization modülleri</w:t>
      </w:r>
    </w:p>
    <w:p>
      <w:pPr>
        <w:pStyle w:val="ListParagraph"/>
        <w:numPr>
          <w:ilvl w:val="0"/>
          <w:numId w:val="3"/>
        </w:numPr>
      </w:pPr>
      <w:r>
        <w:t xml:space="preserve">Ödeme ve açık rıza akışları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İzleme, log ve temel güvenlik dokümantasyonu</w:t>
      </w:r>
    </w:p>
    <w:p>
      <w:pPr>
        <w:pStyle w:val="Heading1"/>
      </w:pPr>
      <w:r>
        <w:t xml:space="preserve">8. Teklif Değerlendirme Kriterleri</w:t>
      </w:r>
    </w:p>
    <w:p>
      <w:pPr>
        <w:spacing w:after="120"/>
      </w:pPr>
      <w:r>
        <w:t xml:space="preserve">Teklifler aşağıdaki ağırlıklarla değerlendirilecektir: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Kriter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Ağırlık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Teknik yetkinlik ve OCPI / ISO 15118 deneyimi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35%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Mimari yaklaşım ve ölçeklenebilirlik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Maliyet ve zaman planı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20%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Referanslar ve ekip yapısı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15%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Yerel (Türkiye) uyumluluk ve destek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5%</w:t>
            </w:r>
          </w:p>
        </w:tc>
      </w:tr>
    </w:tbl>
    <w:p>
      <w:pPr>
        <w:spacing w:after="100" w:before="400"/>
      </w:pPr>
      <w:r>
        <w:rPr>
          <w:i/>
          <w:iCs/>
          <w:color w:val="666666"/>
          <w:sz w:val="20"/>
          <w:szCs w:val="20"/>
        </w:rPr>
        <w:t xml:space="preserve">Bu doküman, konuşma içeriği ve teknik tartışmalar temel alınarak hazırlanmış başlangıç RFP’sidir. Detaylar teklif sürecinde netleştirilecektir.</w:t>
      </w:r>
    </w:p>
    <w:p>
      <w:pPr>
        <w:spacing w:before="200"/>
        <w:jc w:val="center"/>
      </w:pPr>
      <w:r>
        <w:rPr>
          <w:i/>
          <w:iCs/>
          <w:color w:val="999999"/>
          <w:sz w:val="18"/>
          <w:szCs w:val="18"/>
        </w:rPr>
        <w:t xml:space="preserve">— Belge Sonu 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Sayfa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/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RFP – EV Şarj ve Navigasyon Platformu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598b68e32e43695d36354d3075fee833a8f974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2026-10-24T19:33:07.295Z</dcterms:created>
  <dcterms:modified xsi:type="dcterms:W3CDTF">2026-10-24T19:33:07.295Z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