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q0f7ixtzl6b" w:id="0"/>
      <w:bookmarkEnd w:id="0"/>
      <w:r w:rsidDel="00000000" w:rsidR="00000000" w:rsidRPr="00000000">
        <w:rPr>
          <w:rtl w:val="0"/>
        </w:rPr>
        <w:t xml:space="preserve">Application Architecture - RedBank V2 Directory Mapping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BDAT </w:t>
      </w:r>
      <w:r w:rsidDel="00000000" w:rsidR="00000000" w:rsidRPr="00000000">
        <w:rPr>
          <w:b w:val="1"/>
          <w:bCs w:val="1"/>
          <w:rtl w:val="0"/>
        </w:rPr>
        <w:t xml:space="preserve">Application Architecture</w:t>
      </w:r>
      <w:r w:rsidDel="00000000" w:rsidR="00000000" w:rsidRPr="00000000">
        <w:rPr>
          <w:rtl w:val="0"/>
        </w:rPr>
        <w:t xml:space="preserve"> manages our low-level API endpoints, the 5 multi-agent containers, and our automated Semantic Triangle code checks. It maps directly to our directory structure: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cfs9uqw7rey3" w:id="1"/>
      <w:bookmarkEnd w:id="1"/>
      <w:r w:rsidDel="00000000" w:rsidR="00000000" w:rsidRPr="00000000">
        <w:rPr>
          <w:rtl w:val="0"/>
        </w:rPr>
        <w:t xml:space="preserve">1. Low-Level API Specifications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app/main.py</w:t>
      </w:r>
      <w:r w:rsidDel="00000000" w:rsidR="00000000" w:rsidRPr="00000000">
        <w:rPr>
          <w:rtl w:val="0"/>
        </w:rPr>
        <w:t xml:space="preserve"> defines our core REST and FAPI2-compliant API routes: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/api/v1/accounts/{accountId}/balance</w:t>
      </w:r>
      <w:r w:rsidDel="00000000" w:rsidR="00000000" w:rsidRPr="00000000">
        <w:rPr>
          <w:rtl w:val="0"/>
        </w:rPr>
        <w:t xml:space="preserve"> (for account balance queries over mTLS).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/api/v1/cards/authorize</w:t>
      </w:r>
      <w:r w:rsidDel="00000000" w:rsidR="00000000" w:rsidRPr="00000000">
        <w:rPr>
          <w:rtl w:val="0"/>
        </w:rPr>
        <w:t xml:space="preserve"> (for secure, token-based card authorizations inside the isolated CDE).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app/models.py</w:t>
      </w:r>
      <w:r w:rsidDel="00000000" w:rsidR="00000000" w:rsidRPr="00000000">
        <w:rPr>
          <w:rtl w:val="0"/>
        </w:rPr>
        <w:t xml:space="preserve"> defines the Pydantic data schemas representing input and output payloads (e.g., DPoP signature models, Cert-hash validations, and JSON schemas).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thzzzdy5bw8x" w:id="2"/>
      <w:bookmarkEnd w:id="2"/>
      <w:r w:rsidDel="00000000" w:rsidR="00000000" w:rsidRPr="00000000">
        <w:rPr>
          <w:rtl w:val="0"/>
        </w:rPr>
        <w:t xml:space="preserve">2. The 5 Multi-Agent Container Services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Our five specialized agent personas correspond to microservice container definitions running on AWS EKS: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1 (Ingestion &amp; Context Collector)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app/agents/agent1_ingestion.py</w:t>
      </w:r>
      <w:r w:rsidDel="00000000" w:rsidR="00000000" w:rsidRPr="00000000">
        <w:rPr>
          <w:rtl w:val="0"/>
        </w:rPr>
        <w:t xml:space="preserve">. Polls Jira and processes Confluence XHTML.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2 (Infrastructure &amp; DB Topology Mapper)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app/agents/agent2_topographer.py</w:t>
      </w:r>
      <w:r w:rsidDel="00000000" w:rsidR="00000000" w:rsidRPr="00000000">
        <w:rPr>
          <w:rtl w:val="0"/>
        </w:rPr>
        <w:t xml:space="preserve">. Queries CMDB GraphQL and synthesizes low-level design schemas.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3 (Compliance Scoper Gate)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app/agents/agent3_scoper.py</w:t>
      </w:r>
      <w:r w:rsidDel="00000000" w:rsidR="00000000" w:rsidRPr="00000000">
        <w:rPr>
          <w:rtl w:val="0"/>
        </w:rPr>
        <w:t xml:space="preserve">. Intercepts designs, audits them against pgvector rules, and triggers remediations or hard-stops.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4 (Governance Facilitator)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app/agents/agent4_governor.py</w:t>
      </w:r>
      <w:r w:rsidDel="00000000" w:rsidR="00000000" w:rsidRPr="00000000">
        <w:rPr>
          <w:rtl w:val="0"/>
        </w:rPr>
        <w:t xml:space="preserve">. Connects to Enterprise IdP groups and compiles CAB/ARB board slides.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5 (SWE Chapter Auditor)</w:t>
      </w:r>
      <w:r w:rsidDel="00000000" w:rsidR="00000000" w:rsidRPr="00000000">
        <w:rPr>
          <w:rtl w:val="0"/>
        </w:rPr>
        <w:t xml:space="preserve">: 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app/agents/agent5_dora.py</w:t>
      </w:r>
      <w:r w:rsidDel="00000000" w:rsidR="00000000" w:rsidRPr="00000000">
        <w:rPr>
          <w:rtl w:val="0"/>
        </w:rPr>
        <w:t xml:space="preserve">. Performs Semantic Triangle audits and calculates anonymized DORA metrics.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ef9smxciuw06" w:id="3"/>
      <w:bookmarkEnd w:id="3"/>
      <w:r w:rsidDel="00000000" w:rsidR="00000000" w:rsidRPr="00000000">
        <w:rPr>
          <w:rtl w:val="0"/>
        </w:rPr>
        <w:t xml:space="preserve">3. The Semantic Triangle Code Reconciliation Check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Implementation 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app/evaluation/triangle_validator.py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app/evaluation/quality_gates.py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triangle_validator.py</w:t>
      </w:r>
      <w:r w:rsidDel="00000000" w:rsidR="00000000" w:rsidRPr="00000000">
        <w:rPr>
          <w:rtl w:val="0"/>
        </w:rPr>
        <w:t xml:space="preserve"> component programmatically compares the running source code (GitHub) with the approved logical architecture models (HLD/LLD) and Confluence requirements (PRD).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quality_gates.py</w:t>
      </w:r>
      <w:r w:rsidDel="00000000" w:rsidR="00000000" w:rsidRPr="00000000">
        <w:rPr>
          <w:rtl w:val="0"/>
        </w:rPr>
        <w:t xml:space="preserve"> component acts as a blocking check inside our CI/CD workflow, preventing ArgoCD from sync-deploying code to Kubernetes EKS if any specification drift is detected.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