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1j1tjw4ce1s" w:id="0"/>
      <w:bookmarkEnd w:id="0"/>
      <w:r w:rsidDel="00000000" w:rsidR="00000000" w:rsidRPr="00000000">
        <w:rPr>
          <w:rtl w:val="0"/>
        </w:rPr>
        <w:t xml:space="preserve">Data Architecture - RedBank V2 Directory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BDAT </w:t>
      </w:r>
      <w:r w:rsidDel="00000000" w:rsidR="00000000" w:rsidRPr="00000000">
        <w:rPr>
          <w:b w:val="1"/>
          <w:bCs w:val="1"/>
          <w:rtl w:val="0"/>
        </w:rPr>
        <w:t xml:space="preserve">Data Architecture</w:t>
      </w:r>
      <w:r w:rsidDel="00000000" w:rsidR="00000000" w:rsidRPr="00000000">
        <w:rPr>
          <w:rtl w:val="0"/>
        </w:rPr>
        <w:t xml:space="preserve"> governs our database-per-service isolation, vector compliance rules, SAGA events, and zero-trust masking filters. It maps directly to our directory structure as follows: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p3q87g1k2yq" w:id="1"/>
      <w:bookmarkEnd w:id="1"/>
      <w:r w:rsidDel="00000000" w:rsidR="00000000" w:rsidRPr="00000000">
        <w:rPr>
          <w:rtl w:val="0"/>
        </w:rPr>
        <w:t xml:space="preserve">1. Database-Per-Service Isolation (PostgreSQL RDS Multi-AZ)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data/migrations/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Database schemas are maintained and migrated using migration scripts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data/migrations/</w:t>
      </w:r>
      <w:r w:rsidDel="00000000" w:rsidR="00000000" w:rsidRPr="00000000">
        <w:rPr>
          <w:rtl w:val="0"/>
        </w:rPr>
        <w:t xml:space="preserve">. These scripts separate the co-located monolithic database into physically isolated schemas: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tbl_accounts</w:t>
      </w:r>
      <w:r w:rsidDel="00000000" w:rsidR="00000000" w:rsidRPr="00000000">
        <w:rPr>
          <w:rtl w:val="0"/>
        </w:rPr>
        <w:t xml:space="preserve">: Created and managed using isolated schemas (matching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app/models.py</w:t>
      </w:r>
      <w:r w:rsidDel="00000000" w:rsidR="00000000" w:rsidRPr="00000000">
        <w:rPr>
          <w:rtl w:val="0"/>
        </w:rPr>
        <w:t xml:space="preserve"> definitions).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tbl_cards</w:t>
      </w:r>
      <w:r w:rsidDel="00000000" w:rsidR="00000000" w:rsidRPr="00000000">
        <w:rPr>
          <w:rtl w:val="0"/>
        </w:rPr>
        <w:t xml:space="preserve"> (Isolated CDE): Maintained on a physically separate RDS instance with zero database-level foreign key references to accounts.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kfo1lbtznje" w:id="2"/>
      <w:bookmarkEnd w:id="2"/>
      <w:r w:rsidDel="00000000" w:rsidR="00000000" w:rsidRPr="00000000">
        <w:rPr>
          <w:rtl w:val="0"/>
        </w:rPr>
        <w:t xml:space="preserve">2. Distributed State &amp; SAGA Transaction Orchestration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app/services/saga_orchestrator.py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Since databases are isolated, cross-service transactions are coordinated asynchronously.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saga_orchestrator.py</w:t>
      </w:r>
      <w:r w:rsidDel="00000000" w:rsidR="00000000" w:rsidRPr="00000000">
        <w:rPr>
          <w:rtl w:val="0"/>
        </w:rPr>
        <w:t xml:space="preserve"> service consumes and publishes state change event payloads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saga-tx-events</w:t>
      </w:r>
      <w:r w:rsidDel="00000000" w:rsidR="00000000" w:rsidRPr="00000000">
        <w:rPr>
          <w:rtl w:val="0"/>
        </w:rPr>
        <w:t xml:space="preserve"> Kafka topic. It enforces strict rollback operations (e.g., reversing balance reservations) upon authorization failures.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6k7cwdgwz7" w:id="3"/>
      <w:bookmarkEnd w:id="3"/>
      <w:r w:rsidDel="00000000" w:rsidR="00000000" w:rsidRPr="00000000">
        <w:rPr>
          <w:rtl w:val="0"/>
        </w:rPr>
        <w:t xml:space="preserve">3. Vector Compliance Rules (pgvector)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scripts/seed_pgvector.py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app/agents/tools/vector_search.py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seed_pgvector.py</w:t>
      </w:r>
      <w:r w:rsidDel="00000000" w:rsidR="00000000" w:rsidRPr="00000000">
        <w:rPr>
          <w:rtl w:val="0"/>
        </w:rPr>
        <w:t xml:space="preserve"> script vectorizes and embeds raw regulatory texts (CBUAE Circular 3/2025, PCI-DSS v4, GDPR) and seeds them into the PostgreSQL RDS instance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data/seed_regulations.sql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During design evaluations,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app/agents/tools/vector_search.py</w:t>
      </w:r>
      <w:r w:rsidDel="00000000" w:rsidR="00000000" w:rsidRPr="00000000">
        <w:rPr>
          <w:rtl w:val="0"/>
        </w:rPr>
        <w:t xml:space="preserve"> performs cosine-similarity searches to check LLD schemas against these embedded compliance rules.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l518fqdanj" w:id="4"/>
      <w:bookmarkEnd w:id="4"/>
      <w:r w:rsidDel="00000000" w:rsidR="00000000" w:rsidRPr="00000000">
        <w:rPr>
          <w:rtl w:val="0"/>
        </w:rPr>
        <w:t xml:space="preserve">4. Zero-Trust Data Masking &amp; Sanitization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app/security/pii_masker.py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app/security/log_sanitizer.py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pii_masker.py</w:t>
      </w:r>
      <w:r w:rsidDel="00000000" w:rsidR="00000000" w:rsidRPr="00000000">
        <w:rPr>
          <w:rtl w:val="0"/>
        </w:rPr>
        <w:t xml:space="preserve"> acts as an input filter, sanitizing and masking IBANs or customer IDs before processing.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log_sanitizer.py</w:t>
      </w:r>
      <w:r w:rsidDel="00000000" w:rsidR="00000000" w:rsidRPr="00000000">
        <w:rPr>
          <w:rtl w:val="0"/>
        </w:rPr>
        <w:t xml:space="preserve"> operates as a runtime interceptor (ADR-004), programmatically scanning standard out stream buffers to replace plaintext PII or card tokens with encrypted masking tags before writing to the diagnostic logging files.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