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0otugvamwrs" w:id="0"/>
      <w:bookmarkEnd w:id="0"/>
      <w:r w:rsidDel="00000000" w:rsidR="00000000" w:rsidRPr="00000000">
        <w:rPr>
          <w:rtl w:val="0"/>
        </w:rPr>
        <w:t xml:space="preserve">Technology Architecture - RedBank V2 Directory Mapping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BDAT </w:t>
      </w:r>
      <w:r w:rsidDel="00000000" w:rsidR="00000000" w:rsidRPr="00000000">
        <w:rPr>
          <w:b w:val="1"/>
          <w:bCs w:val="1"/>
          <w:rtl w:val="0"/>
        </w:rPr>
        <w:t xml:space="preserve">Technology Architecture</w:t>
      </w:r>
      <w:r w:rsidDel="00000000" w:rsidR="00000000" w:rsidRPr="00000000">
        <w:rPr>
          <w:rtl w:val="0"/>
        </w:rPr>
        <w:t xml:space="preserve"> establishes the physical infrastructure boundaries, the MSK Kafka event backbone, containerization parameters, and localized GPU AI pipelines. It maps directly to our directory structure: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fpdoiaq3lv8" w:id="1"/>
      <w:bookmarkEnd w:id="1"/>
      <w:r w:rsidDel="00000000" w:rsidR="00000000" w:rsidRPr="00000000">
        <w:rPr>
          <w:rtl w:val="0"/>
        </w:rPr>
        <w:t xml:space="preserve">1. Containerization &amp; EKS Deployment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app/Dockerfile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app/Dockerfile</w:t>
      </w:r>
      <w:r w:rsidDel="00000000" w:rsidR="00000000" w:rsidRPr="00000000">
        <w:rPr>
          <w:rtl w:val="0"/>
        </w:rPr>
        <w:t xml:space="preserve"> containerizes our core Agentive Harness API, allowing it to run as a microservice pod on AWS EKS.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provides a local development manifest, spin-up configuration, and environment networking to orchestrate all 5 agent containers and our local pgvector PostgreSQL database during technical sandbox PoT evaluations.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f366joe2z3v" w:id="2"/>
      <w:bookmarkEnd w:id="2"/>
      <w:r w:rsidDel="00000000" w:rsidR="00000000" w:rsidRPr="00000000">
        <w:rPr>
          <w:rtl w:val="0"/>
        </w:rPr>
        <w:t xml:space="preserve">2. Apache Kafka (AWS MSK) Messaging Backbone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app/config.py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app/config.py</w:t>
      </w:r>
      <w:r w:rsidDel="00000000" w:rsidR="00000000" w:rsidRPr="00000000">
        <w:rPr>
          <w:rtl w:val="0"/>
        </w:rPr>
        <w:t xml:space="preserve"> defines the bootstrap servers and credential mappings for our AWS MSK Kafka cluster.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Our core services publish and consume messages over distinct event-driven topics: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arch-ingestion-topic</w:t>
      </w:r>
      <w:r w:rsidDel="00000000" w:rsidR="00000000" w:rsidRPr="00000000">
        <w:rPr>
          <w:rtl w:val="0"/>
        </w:rPr>
        <w:t xml:space="preserve">: Maintained by Agent 1 to broadcast ingested context.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lld-generation-topic</w:t>
      </w:r>
      <w:r w:rsidDel="00000000" w:rsidR="00000000" w:rsidRPr="00000000">
        <w:rPr>
          <w:rtl w:val="0"/>
        </w:rPr>
        <w:t xml:space="preserve">: Maintained by Agent 2 to broadcast LLD designs.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compliance-alerts</w:t>
      </w:r>
      <w:r w:rsidDel="00000000" w:rsidR="00000000" w:rsidRPr="00000000">
        <w:rPr>
          <w:rtl w:val="0"/>
        </w:rPr>
        <w:t xml:space="preserve">: Maintained by Agent 3 to broadcast audit decisions.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saga-tx-events</w:t>
      </w:r>
      <w:r w:rsidDel="00000000" w:rsidR="00000000" w:rsidRPr="00000000">
        <w:rPr>
          <w:rtl w:val="0"/>
        </w:rPr>
        <w:t xml:space="preserve">: Managed by SAGA orchestrator for distributed transaction state.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hhdquhijlkc" w:id="3"/>
      <w:bookmarkEnd w:id="3"/>
      <w:r w:rsidDel="00000000" w:rsidR="00000000" w:rsidRPr="00000000">
        <w:rPr>
          <w:rtl w:val="0"/>
        </w:rPr>
        <w:t xml:space="preserve">3. Local Stateless Compute Engine (vLLM on private EKS GPU Nodes)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Llama-3-70B-Instruct.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Running on private GPU nodes on AWS EKS. Inbound prompts and payloads are routed to the localized model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vLLM</w:t>
      </w:r>
      <w:r w:rsidDel="00000000" w:rsidR="00000000" w:rsidRPr="00000000">
        <w:rPr>
          <w:rtl w:val="0"/>
        </w:rPr>
        <w:t xml:space="preserve"> container ports.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Sovereignty Boundary</w:t>
      </w:r>
      <w:r w:rsidDel="00000000" w:rsidR="00000000" w:rsidRPr="00000000">
        <w:rPr>
          <w:rtl w:val="0"/>
        </w:rPr>
        <w:t xml:space="preserve">: Meets strict CBUAE data residency guidelines. The local compute engine runs in isolation within our sovereign VPC boundary, completely blocked from the outbound public internet.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klgoybcj7pe" w:id="4"/>
      <w:bookmarkEnd w:id="4"/>
      <w:r w:rsidDel="00000000" w:rsidR="00000000" w:rsidRPr="00000000">
        <w:rPr>
          <w:rtl w:val="0"/>
        </w:rPr>
        <w:t xml:space="preserve">4. API Security, mTLS &amp; DPoP Token Binding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communication channels use Mutual TLS (mTLS) client certificates running over TLS 1.3.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app/security/cde_verifier.py</w:t>
      </w:r>
      <w:r w:rsidDel="00000000" w:rsidR="00000000" w:rsidRPr="00000000">
        <w:rPr>
          <w:rtl w:val="0"/>
        </w:rPr>
        <w:t xml:space="preserve"> acts as an active gate, enforcing that all ingress requests to the CDE contain cryptographically bound access tokens with valid </w:t>
      </w:r>
      <w:r w:rsidDel="00000000" w:rsidR="00000000" w:rsidRPr="00000000">
        <w:rPr>
          <w:b w:val="1"/>
          <w:bCs w:val="1"/>
          <w:rtl w:val="0"/>
        </w:rPr>
        <w:t xml:space="preserve">DPoP</w:t>
      </w:r>
      <w:r w:rsidDel="00000000" w:rsidR="00000000" w:rsidRPr="00000000">
        <w:rPr>
          <w:rtl w:val="0"/>
        </w:rPr>
        <w:t xml:space="preserve"> signatures, preventing token hijacking.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