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40" w:after="220"/>
        <w:pBdr>
          <w:bottom w:val="single" w:sz="10" w:space="10" w:color="1F4E79"/>
        </w:pBdr>
      </w:pPr>
      <w:r>
        <w:rPr>
          <w:rFonts w:ascii="Noto Sans CJK SC" w:hAnsi="Noto Sans CJK SC" w:eastAsia="Noto Sans CJK SC"/>
          <w:b/>
          <w:color w:val="1F4E79"/>
          <w:sz w:val="44"/>
        </w:rPr>
        <w:t>单因子检验与组合优化回测报告</w:t>
      </w:r>
    </w:p>
    <w:p>
      <w:pPr>
        <w:spacing w:before="40" w:after="100"/>
        <w:keepNext w:val="1"/>
      </w:pPr>
      <w:r>
        <w:rPr>
          <w:rFonts w:ascii="Noto Sans CJK SC" w:hAnsi="Noto Sans CJK SC" w:eastAsia="Noto Sans CJK SC"/>
          <w:b/>
          <w:color w:val="1F4E79"/>
          <w:sz w:val="22"/>
        </w:rPr>
        <w:t>报告结构</w:t>
      </w:r>
    </w:p>
    <w:p>
      <w:pPr>
        <w:pStyle w:val="ListBullet"/>
        <w:spacing w:after="80" w:line="324" w:lineRule="auto"/>
        <w:ind w:left="369" w:hanging="170"/>
      </w:pPr>
      <w:r>
        <w:rPr>
          <w:rFonts w:ascii="Noto Serif CJK SC" w:hAnsi="Noto Serif CJK SC" w:eastAsia="Noto Serif CJK SC"/>
          <w:color w:val="222222"/>
          <w:sz w:val="20"/>
        </w:rPr>
        <w:t>一、因子构造与标准化处理</w:t>
      </w:r>
    </w:p>
    <w:p>
      <w:pPr>
        <w:pStyle w:val="ListBullet"/>
        <w:spacing w:after="80" w:line="324" w:lineRule="auto"/>
        <w:ind w:left="369" w:hanging="170"/>
      </w:pPr>
      <w:r>
        <w:rPr>
          <w:rFonts w:ascii="Noto Serif CJK SC" w:hAnsi="Noto Serif CJK SC" w:eastAsia="Noto Serif CJK SC"/>
          <w:color w:val="222222"/>
          <w:sz w:val="20"/>
        </w:rPr>
        <w:t>二、IC / Rank IC 检验结果</w:t>
      </w:r>
    </w:p>
    <w:p>
      <w:pPr>
        <w:pStyle w:val="ListBullet"/>
        <w:spacing w:after="80" w:line="324" w:lineRule="auto"/>
        <w:ind w:left="369" w:hanging="170"/>
      </w:pPr>
      <w:r>
        <w:rPr>
          <w:rFonts w:ascii="Noto Serif CJK SC" w:hAnsi="Noto Serif CJK SC" w:eastAsia="Noto Serif CJK SC"/>
          <w:color w:val="222222"/>
          <w:sz w:val="20"/>
        </w:rPr>
        <w:t>三、分层回测结果</w:t>
      </w:r>
    </w:p>
    <w:p>
      <w:pPr>
        <w:pStyle w:val="ListBullet"/>
        <w:spacing w:after="80" w:line="324" w:lineRule="auto"/>
        <w:ind w:left="369" w:hanging="170"/>
      </w:pPr>
      <w:r>
        <w:rPr>
          <w:rFonts w:ascii="Noto Serif CJK SC" w:hAnsi="Noto Serif CJK SC" w:eastAsia="Noto Serif CJK SC"/>
          <w:color w:val="222222"/>
          <w:sz w:val="20"/>
        </w:rPr>
        <w:t>四、第二问：预期收益估计与组合优化</w:t>
      </w:r>
    </w:p>
    <w:p>
      <w:pPr>
        <w:pStyle w:val="ListBullet"/>
        <w:spacing w:after="80" w:line="324" w:lineRule="auto"/>
        <w:ind w:left="369" w:hanging="170"/>
      </w:pPr>
      <w:r>
        <w:rPr>
          <w:rFonts w:ascii="Noto Serif CJK SC" w:hAnsi="Noto Serif CJK SC" w:eastAsia="Noto Serif CJK SC"/>
          <w:color w:val="222222"/>
          <w:sz w:val="20"/>
        </w:rPr>
        <w:t>五、参数设置与方法总结</w:t>
      </w:r>
    </w:p>
    <w:p>
      <w:pPr>
        <w:spacing w:before="80" w:after="200" w:line="252" w:lineRule="auto"/>
        <w:pBdr>
          <w:left w:val="single" w:sz="18" w:space="7" w:color="1F4E79"/>
        </w:pBdr>
        <w:keepNext w:val="1"/>
      </w:pPr>
      <w:r>
        <w:rPr>
          <w:rFonts w:ascii="Noto Sans CJK SC" w:hAnsi="Noto Sans CJK SC" w:eastAsia="Noto Sans CJK SC"/>
          <w:b/>
          <w:color w:val="1F4E79"/>
          <w:sz w:val="32"/>
        </w:rPr>
        <w:t>一、因子构造与标准化处理</w:t>
      </w:r>
    </w:p>
    <w:p>
      <w:pPr>
        <w:spacing w:line="348" w:lineRule="auto" w:after="120"/>
        <w:ind w:firstLine="420"/>
        <w:jc w:val="both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本题按照要求对原始因子进行两类标准化处理：z-score 标准化与 rank z-score 标准化。因子处理过程中同时进行了中位数去极值，以降低极端值对截面统计结果的影响。</w:t>
      </w:r>
    </w:p>
    <w:p>
      <w:pPr>
        <w:spacing w:before="140" w:after="120"/>
        <w:keepNext w:val="1"/>
      </w:pPr>
      <w:r>
        <w:rPr>
          <w:rFonts w:ascii="Noto Sans CJK SC" w:hAnsi="Noto Sans CJK SC" w:eastAsia="Noto Sans CJK SC"/>
          <w:b/>
          <w:color w:val="1F4E79"/>
          <w:sz w:val="26"/>
        </w:rPr>
        <w:t>1.1 标准化方法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def zscore(series: pd.Series) -&gt; pd.Series:</w:t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cleaned = winsorize_mad(series)</w:t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std = cleaned.std(ddof=0)</w:t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not np.isfinite(std) or std &lt;= 0:</w:t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return pd.Series(np.nan, index=series.index)</w:t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(cleaned - cleaned.mean()) / std</w:t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def rank_zscore(series: pd.Series) -&gt; pd.Series: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 xml:space="preserve">    ranks = series.rank(method="average", pct=True)</w:t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centered = ranks - ranks.mean()</w:t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std = centered.std(ddof=0)</w:t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if not np.isfinite(std) or std &lt;= 0:</w:t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return pd.Series(np.nan, index=series.index)</w:t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return centered / std</w:t>
            </w:r>
          </w:p>
        </w:tc>
      </w:tr>
    </w:tbl>
    <w:p>
      <w:pPr>
        <w:spacing w:after="0"/>
      </w:pPr>
    </w:p>
    <w:p>
      <w:pPr>
        <w:spacing w:before="140" w:after="120"/>
        <w:keepNext w:val="1"/>
      </w:pPr>
      <w:r>
        <w:rPr>
          <w:rFonts w:ascii="Noto Sans CJK SC" w:hAnsi="Noto Sans CJK SC" w:eastAsia="Noto Sans CJK SC"/>
          <w:b/>
          <w:color w:val="1F4E79"/>
          <w:sz w:val="26"/>
        </w:rPr>
        <w:t>1.2 原始因子与行业中性化因子</w:t>
      </w:r>
    </w:p>
    <w:p>
      <w:pPr>
        <w:spacing w:line="348" w:lineRule="auto" w:after="120"/>
        <w:ind w:firstLine="420"/>
        <w:jc w:val="both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按照题目要求，本文同时保留原始因子和行业中性化后的因子。行业中性化采用研报中提到的处理方式：仅纳入行业虚拟变量，并将市场因子包含在行业因子中。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69"/>
          <w:tblHeader w:val="true"/>
          <w:cantSplit/>
        </w:trPr>
        <w:tc>
          <w:tcPr>
            <w:tcW w:type="dxa" w:w="283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因子名称</w:t>
            </w:r>
          </w:p>
        </w:tc>
        <w:tc>
          <w:tcPr>
            <w:tcW w:type="dxa" w:w="283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处理方式</w:t>
            </w:r>
          </w:p>
        </w:tc>
        <w:tc>
          <w:tcPr>
            <w:tcW w:type="dxa" w:w="340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factor_zscore</w:t>
            </w:r>
          </w:p>
        </w:tc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未行业中性化 + z-score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保留原始行业暴露，直接进行 z-score 标准化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factor_zscore_neutral</w:t>
            </w:r>
          </w:p>
        </w:tc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行业中性化 + z-score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先剔除行业影响，再进行 z-score 标准化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factor_rank_zscore</w:t>
            </w:r>
          </w:p>
        </w:tc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未行业中性化 + rank z-score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先做截面排序，再对排序结果标准化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factor_rank_zscore_neutral</w:t>
            </w:r>
          </w:p>
        </w:tc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行业中性化 + rank z-score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先剔除行业影响，再做排序标准化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2F8"/>
            <w:tcBorders>
              <w:top w:val="single" w:sz="3" w:color="D5E4F2"/>
              <w:left w:val="single" w:sz="14" w:color="1F4E79"/>
              <w:bottom w:val="single" w:sz="3" w:color="D5E4F2"/>
              <w:right w:val="single" w:sz="3" w:color="D5E4F2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说明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若原始因子定义为过去 5 日收益率，则 IC 为负意味着短期内存在反转效应，而不是动量效应。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后续分层回测中将因子取负号，使因子值越大对应越强的预期表现。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80" w:after="200" w:line="252" w:lineRule="auto"/>
        <w:pBdr>
          <w:left w:val="single" w:sz="18" w:space="7" w:color="1F4E79"/>
        </w:pBdr>
        <w:keepNext w:val="1"/>
      </w:pPr>
      <w:r>
        <w:rPr>
          <w:rFonts w:ascii="Noto Sans CJK SC" w:hAnsi="Noto Sans CJK SC" w:eastAsia="Noto Sans CJK SC"/>
          <w:b/>
          <w:color w:val="1F4E79"/>
          <w:sz w:val="32"/>
        </w:rPr>
        <w:t>二、IC 与 Rank IC 检验结果</w:t>
      </w:r>
    </w:p>
    <w:p>
      <w:pPr>
        <w:spacing w:before="40" w:after="60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623560" cy="2811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1_xref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1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505050"/>
          <w:sz w:val="17"/>
        </w:rPr>
        <w:t>图 1：四个因子的累计 IC</w:t>
      </w:r>
    </w:p>
    <w:p>
      <w:pPr>
        <w:spacing w:line="348" w:lineRule="auto" w:after="120"/>
        <w:jc w:val="both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从累计 IC 曲线可以看到，四种因子处理方式在 2010—2022 年间整体呈持续下降趋势，说明原始因子值与未来收益之间存在较稳定的负相关关系。若原始因子定义为过去 5 日收益率，则该结果对应 A 股短周期内较明显的反转效应。</w:t>
      </w:r>
    </w:p>
    <w:p>
      <w:pPr>
        <w:spacing w:before="40" w:after="60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623560" cy="2811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2_xref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1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505050"/>
          <w:sz w:val="17"/>
        </w:rPr>
        <w:t>图 2：四个因子的累计 Rank IC</w:t>
      </w:r>
    </w:p>
    <w:p>
      <w:pPr>
        <w:spacing w:line="348" w:lineRule="auto" w:after="60"/>
        <w:jc w:val="both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Rank IC 的回测结果与 IC 基本一致，说明该因子在排序意义上也具有较稳定的方向性。</w:t>
      </w:r>
    </w:p>
    <w:p>
      <w:r>
        <w:br w:type="page"/>
      </w:r>
    </w:p>
    <w:p>
      <w:pPr>
        <w:spacing w:before="140" w:after="120"/>
        <w:keepNext w:val="1"/>
      </w:pPr>
      <w:r>
        <w:rPr>
          <w:rFonts w:ascii="Noto Sans CJK SC" w:hAnsi="Noto Sans CJK SC" w:eastAsia="Noto Sans CJK SC"/>
          <w:b/>
          <w:color w:val="1F4E79"/>
          <w:sz w:val="26"/>
        </w:rPr>
        <w:t>2.1 IC 序列 t 检验结果</w:t>
      </w:r>
    </w:p>
    <w:p>
      <w:pPr>
        <w:spacing w:line="348" w:lineRule="auto" w:after="120"/>
        <w:ind w:firstLine="420"/>
        <w:jc w:val="both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下表将原始截图中的 t 检验结果进行了重排和四舍五入，便于阅读。表中因子名称采用简写；正向结果对应后续取负号后的反转因子方向。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rHeight w:val="369"/>
          <w:tblHeader w:val="true"/>
          <w:cantSplit/>
        </w:trPr>
        <w:tc>
          <w:tcPr>
            <w:tcW w:type="dxa" w:w="249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113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107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均值</w:t>
            </w:r>
          </w:p>
        </w:tc>
        <w:tc>
          <w:tcPr>
            <w:tcW w:type="dxa" w:w="107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标准差</w:t>
            </w:r>
          </w:p>
        </w:tc>
        <w:tc>
          <w:tcPr>
            <w:tcW w:type="dxa" w:w="102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 值</w:t>
            </w:r>
          </w:p>
        </w:tc>
        <w:tc>
          <w:tcPr>
            <w:tcW w:type="dxa" w:w="198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 值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2"/>
              </w:rPr>
              <w:t>zscore</w:t>
            </w:r>
          </w:p>
        </w:tc>
        <w:tc>
          <w:tcPr>
            <w:tcW w:type="dxa" w:w="113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IC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0.0532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0.1354</w:t>
            </w:r>
          </w:p>
        </w:tc>
        <w:tc>
          <w:tcPr>
            <w:tcW w:type="dxa" w:w="10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21.19</w:t>
            </w:r>
          </w:p>
        </w:tc>
        <w:tc>
          <w:tcPr>
            <w:tcW w:type="dxa" w:w="19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9.26e-93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2"/>
              </w:rPr>
              <w:t>zscore</w:t>
            </w:r>
          </w:p>
        </w:tc>
        <w:tc>
          <w:tcPr>
            <w:tcW w:type="dxa" w:w="113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Rank IC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0.0580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0.1430</w:t>
            </w:r>
          </w:p>
        </w:tc>
        <w:tc>
          <w:tcPr>
            <w:tcW w:type="dxa" w:w="10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21.84</w:t>
            </w:r>
          </w:p>
        </w:tc>
        <w:tc>
          <w:tcPr>
            <w:tcW w:type="dxa" w:w="19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4.97e-98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2"/>
              </w:rPr>
              <w:t>zscore_neutral</w:t>
            </w:r>
          </w:p>
        </w:tc>
        <w:tc>
          <w:tcPr>
            <w:tcW w:type="dxa" w:w="113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IC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0.0543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0.1069</w:t>
            </w:r>
          </w:p>
        </w:tc>
        <w:tc>
          <w:tcPr>
            <w:tcW w:type="dxa" w:w="10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27.38</w:t>
            </w:r>
          </w:p>
        </w:tc>
        <w:tc>
          <w:tcPr>
            <w:tcW w:type="dxa" w:w="19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5.06e-147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2"/>
              </w:rPr>
              <w:t>zscore_neutral</w:t>
            </w:r>
          </w:p>
        </w:tc>
        <w:tc>
          <w:tcPr>
            <w:tcW w:type="dxa" w:w="113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Rank IC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0.0588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0.1095</w:t>
            </w:r>
          </w:p>
        </w:tc>
        <w:tc>
          <w:tcPr>
            <w:tcW w:type="dxa" w:w="10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28.97</w:t>
            </w:r>
          </w:p>
        </w:tc>
        <w:tc>
          <w:tcPr>
            <w:tcW w:type="dxa" w:w="19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2.50e-162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2"/>
              </w:rPr>
              <w:t>rank_zscore</w:t>
            </w:r>
          </w:p>
        </w:tc>
        <w:tc>
          <w:tcPr>
            <w:tcW w:type="dxa" w:w="113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IC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0.0452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0.1334</w:t>
            </w:r>
          </w:p>
        </w:tc>
        <w:tc>
          <w:tcPr>
            <w:tcW w:type="dxa" w:w="10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18.28</w:t>
            </w:r>
          </w:p>
        </w:tc>
        <w:tc>
          <w:tcPr>
            <w:tcW w:type="dxa" w:w="19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8.97e-71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2"/>
              </w:rPr>
              <w:t>rank_zscore</w:t>
            </w:r>
          </w:p>
        </w:tc>
        <w:tc>
          <w:tcPr>
            <w:tcW w:type="dxa" w:w="113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Rank IC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0.0580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0.1430</w:t>
            </w:r>
          </w:p>
        </w:tc>
        <w:tc>
          <w:tcPr>
            <w:tcW w:type="dxa" w:w="10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21.88</w:t>
            </w:r>
          </w:p>
        </w:tc>
        <w:tc>
          <w:tcPr>
            <w:tcW w:type="dxa" w:w="19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2.21e-98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2"/>
              </w:rPr>
              <w:t>rank_zscore_neutral</w:t>
            </w:r>
          </w:p>
        </w:tc>
        <w:tc>
          <w:tcPr>
            <w:tcW w:type="dxa" w:w="113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IC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0.0463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0.1034</w:t>
            </w:r>
          </w:p>
        </w:tc>
        <w:tc>
          <w:tcPr>
            <w:tcW w:type="dxa" w:w="10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24.17</w:t>
            </w:r>
          </w:p>
        </w:tc>
        <w:tc>
          <w:tcPr>
            <w:tcW w:type="dxa" w:w="19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8.39e-118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2"/>
              </w:rPr>
              <w:t>rank_zscore_neutral</w:t>
            </w:r>
          </w:p>
        </w:tc>
        <w:tc>
          <w:tcPr>
            <w:tcW w:type="dxa" w:w="113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Rank IC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0.0573</w:t>
            </w:r>
          </w:p>
        </w:tc>
        <w:tc>
          <w:tcPr>
            <w:tcW w:type="dxa" w:w="107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0.1122</w:t>
            </w:r>
          </w:p>
        </w:tc>
        <w:tc>
          <w:tcPr>
            <w:tcW w:type="dxa" w:w="10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27.55</w:t>
            </w:r>
          </w:p>
        </w:tc>
        <w:tc>
          <w:tcPr>
            <w:tcW w:type="dxa" w:w="198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1.06e-148</w:t>
            </w:r>
          </w:p>
        </w:tc>
      </w:tr>
    </w:tbl>
    <w:p>
      <w:pPr>
        <w:spacing w:after="0"/>
      </w:pPr>
    </w:p>
    <w:p>
      <w:pPr>
        <w:spacing w:before="80" w:after="200" w:line="252" w:lineRule="auto"/>
        <w:pBdr>
          <w:left w:val="single" w:sz="18" w:space="7" w:color="1F4E79"/>
        </w:pBdr>
        <w:keepNext w:val="1"/>
      </w:pPr>
      <w:r>
        <w:rPr>
          <w:rFonts w:ascii="Noto Sans CJK SC" w:hAnsi="Noto Sans CJK SC" w:eastAsia="Noto Sans CJK SC"/>
          <w:b/>
          <w:color w:val="1F4E79"/>
          <w:sz w:val="32"/>
        </w:rPr>
        <w:t>三、分层回测结果</w:t>
      </w:r>
    </w:p>
    <w:p>
      <w:pPr>
        <w:spacing w:line="348" w:lineRule="auto" w:after="120"/>
        <w:ind w:firstLine="420"/>
        <w:jc w:val="both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由于原始因子的累计 IC 为负，本文将其理解为反转因子而非动量因子。因此，在后续分层回测中对因子取负号，使“因子值越大”表示股票越值得买入。下面以 rank_zscore 相关结果作为示例进行展示。</w:t>
      </w:r>
    </w:p>
    <w:p>
      <w:pPr>
        <w:spacing w:line="348" w:lineRule="auto" w:after="120"/>
        <w:ind w:firstLine="420"/>
        <w:jc w:val="both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论文要求在按照行业分层回测是，行业间的权重按照基准权重去加权，但我并没有看到沪深三百相关的数据，故做的时候按照流通市值加权。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2F8"/>
            <w:tcBorders>
              <w:top w:val="single" w:sz="3" w:color="D5E4F2"/>
              <w:left w:val="single" w:sz="14" w:color="1F4E79"/>
              <w:bottom w:val="single" w:sz="3" w:color="D5E4F2"/>
              <w:right w:val="single" w:sz="3" w:color="D5E4F2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图例说明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all：未按行业分层；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industry_layer：按行业分层后再进行分层回测。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equal：等权组合；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float_mv：按流通市值加权。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neutral：因子进行过行业中性化处理。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40" w:after="120"/>
        <w:keepNext w:val="1"/>
      </w:pPr>
      <w:r>
        <w:rPr>
          <w:rFonts w:ascii="Noto Sans CJK SC" w:hAnsi="Noto Sans CJK SC" w:eastAsia="Noto Sans CJK SC"/>
          <w:b/>
          <w:color w:val="1F4E79"/>
          <w:sz w:val="26"/>
        </w:rPr>
        <w:t>3.1 直接截面分层回测</w:t>
      </w:r>
    </w:p>
    <w:p>
      <w:pPr>
        <w:spacing w:before="100" w:after="100"/>
        <w:keepNext w:val="1"/>
      </w:pPr>
      <w:r>
        <w:rPr>
          <w:rFonts w:ascii="Noto Sans CJK SC" w:hAnsi="Noto Sans CJK SC" w:eastAsia="Noto Sans CJK SC"/>
          <w:b/>
          <w:color w:val="1F4E79"/>
          <w:sz w:val="23"/>
        </w:rPr>
        <w:t>3.1.1 事先经过行业中性化的因子</w:t>
      </w:r>
    </w:p>
    <w:p>
      <w:pPr>
        <w:spacing w:before="40" w:after="100"/>
        <w:keepNext w:val="1"/>
      </w:pPr>
      <w:r>
        <w:rPr>
          <w:rFonts w:ascii="Noto Sans CJK SC" w:hAnsi="Noto Sans CJK SC" w:eastAsia="Noto Sans CJK SC"/>
          <w:b/>
          <w:color w:val="1F4E79"/>
          <w:sz w:val="22"/>
        </w:rPr>
        <w:t>等权组合：</w:t>
      </w:r>
    </w:p>
    <w:p>
      <w:pPr>
        <w:spacing w:before="40" w:after="60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1_xref5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505050"/>
          <w:sz w:val="17"/>
        </w:rPr>
        <w:t>图 3：neutral + all + equal 分层回测结果</w:t>
      </w:r>
    </w:p>
    <w:p>
      <w:pPr>
        <w:spacing w:before="40" w:after="100"/>
        <w:keepNext w:val="1"/>
      </w:pPr>
      <w:r>
        <w:rPr>
          <w:rFonts w:ascii="Noto Sans CJK SC" w:hAnsi="Noto Sans CJK SC" w:eastAsia="Noto Sans CJK SC"/>
          <w:b/>
          <w:color w:val="1F4E79"/>
          <w:sz w:val="22"/>
        </w:rPr>
        <w:t>流通市值等权组合：</w:t>
      </w:r>
    </w:p>
    <w:p>
      <w:r>
        <w:br w:type="page"/>
      </w:r>
    </w:p>
    <w:p>
      <w:pPr>
        <w:spacing w:before="40" w:after="60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1_xref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505050"/>
          <w:sz w:val="17"/>
        </w:rPr>
        <w:t>图 4：neutral + all + float_mv 分层回测结果</w:t>
      </w:r>
    </w:p>
    <w:p>
      <w:pPr>
        <w:spacing w:before="100" w:after="100"/>
        <w:keepNext w:val="1"/>
      </w:pPr>
      <w:r>
        <w:rPr>
          <w:rFonts w:ascii="Noto Sans CJK SC" w:hAnsi="Noto Sans CJK SC" w:eastAsia="Noto Sans CJK SC"/>
          <w:b/>
          <w:color w:val="1F4E79"/>
          <w:sz w:val="23"/>
        </w:rPr>
        <w:t>3.1.2 原始因子</w:t>
      </w:r>
    </w:p>
    <w:p>
      <w:pPr>
        <w:spacing w:before="40" w:after="100"/>
        <w:keepNext w:val="1"/>
      </w:pPr>
      <w:r>
        <w:rPr>
          <w:rFonts w:ascii="Noto Sans CJK SC" w:hAnsi="Noto Sans CJK SC" w:eastAsia="Noto Sans CJK SC"/>
          <w:b/>
          <w:color w:val="1F4E79"/>
          <w:sz w:val="22"/>
        </w:rPr>
        <w:t>等权组合：</w:t>
      </w:r>
    </w:p>
    <w:p>
      <w:pPr>
        <w:spacing w:before="40" w:after="60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2_xref5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505050"/>
          <w:sz w:val="17"/>
        </w:rPr>
        <w:t>图 5：原始因子 + all + equal 分层回测结果</w:t>
      </w:r>
    </w:p>
    <w:p>
      <w:pPr>
        <w:spacing w:before="40" w:after="100"/>
        <w:keepNext w:val="1"/>
      </w:pPr>
      <w:r>
        <w:rPr>
          <w:rFonts w:ascii="Noto Sans CJK SC" w:hAnsi="Noto Sans CJK SC" w:eastAsia="Noto Sans CJK SC"/>
          <w:b/>
          <w:color w:val="1F4E79"/>
          <w:sz w:val="22"/>
        </w:rPr>
        <w:t>流通市值等权组合：</w:t>
      </w:r>
    </w:p>
    <w:p>
      <w:r>
        <w:br w:type="page"/>
      </w:r>
    </w:p>
    <w:p>
      <w:pPr>
        <w:spacing w:before="40" w:after="60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1_xref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505050"/>
          <w:sz w:val="17"/>
        </w:rPr>
        <w:t>图 6：原始因子 + all + float_mv 分层回测结果</w:t>
      </w:r>
    </w:p>
    <w:p>
      <w:pPr>
        <w:spacing w:before="140" w:after="120"/>
        <w:keepNext w:val="1"/>
      </w:pPr>
      <w:r>
        <w:rPr>
          <w:rFonts w:ascii="Noto Sans CJK SC" w:hAnsi="Noto Sans CJK SC" w:eastAsia="Noto Sans CJK SC"/>
          <w:b/>
          <w:color w:val="1F4E79"/>
          <w:sz w:val="26"/>
        </w:rPr>
        <w:t>3.2 按行业分层回测</w:t>
      </w:r>
    </w:p>
    <w:p>
      <w:pPr>
        <w:spacing w:before="100" w:after="100"/>
        <w:keepNext w:val="1"/>
      </w:pPr>
      <w:r>
        <w:rPr>
          <w:rFonts w:ascii="Noto Sans CJK SC" w:hAnsi="Noto Sans CJK SC" w:eastAsia="Noto Sans CJK SC"/>
          <w:b/>
          <w:color w:val="1F4E79"/>
          <w:sz w:val="23"/>
        </w:rPr>
        <w:t>3.2.1 事先经过行业中性化的因子</w:t>
      </w:r>
    </w:p>
    <w:p>
      <w:pPr>
        <w:spacing w:before="40" w:after="60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2_xref5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505050"/>
          <w:sz w:val="17"/>
        </w:rPr>
        <w:t>图 5：industry_layer + float_mv 分层回测结果</w:t>
      </w:r>
    </w:p>
    <w:p>
      <w:pPr>
        <w:spacing w:before="100" w:after="100"/>
        <w:keepNext w:val="1"/>
      </w:pPr>
      <w:r>
        <w:rPr>
          <w:rFonts w:ascii="Noto Sans CJK SC" w:hAnsi="Noto Sans CJK SC" w:eastAsia="Noto Sans CJK SC"/>
          <w:b/>
          <w:color w:val="1F4E79"/>
          <w:sz w:val="23"/>
        </w:rPr>
        <w:t>3.2.1 原始因子</w:t>
      </w:r>
    </w:p>
    <w:p>
      <w:r>
        <w:br w:type="page"/>
      </w:r>
    </w:p>
    <w:p>
      <w:pPr>
        <w:spacing w:before="40" w:after="60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1_xref6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505050"/>
          <w:sz w:val="17"/>
        </w:rPr>
        <w:t>图 6：industry_layer + float_mv 分层回测结果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2F8"/>
            <w:tcBorders>
              <w:top w:val="single" w:sz="3" w:color="D5E4F2"/>
              <w:left w:val="single" w:sz="14" w:color="1F4E79"/>
              <w:bottom w:val="single" w:sz="3" w:color="D5E4F2"/>
              <w:right w:val="single" w:sz="3" w:color="D5E4F2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结果解读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分层组合整体呈现较好的排序区分度，说明因子在截面上具有一定的选股能力。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加入行业分层后，能够在一定程度上减少行业暴露对结果的干扰，更能体现因子本身的有效性。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流通市值加权结果相比等权结果更贴近实际可交易组合，但也可能受到大市值股票表现的影响。</w:t>
            </w:r>
          </w:p>
        </w:tc>
      </w:tr>
    </w:tbl>
    <w:p>
      <w:pPr>
        <w:spacing w:after="0"/>
      </w:pPr>
    </w:p>
    <w:p>
      <w:pPr>
        <w:spacing w:before="80" w:after="200" w:line="252" w:lineRule="auto"/>
        <w:pBdr>
          <w:left w:val="single" w:sz="18" w:space="7" w:color="1F4E79"/>
        </w:pBdr>
        <w:keepNext w:val="1"/>
      </w:pPr>
      <w:r>
        <w:rPr>
          <w:rFonts w:ascii="Noto Sans CJK SC" w:hAnsi="Noto Sans CJK SC" w:eastAsia="Noto Sans CJK SC"/>
          <w:b/>
          <w:color w:val="1F4E79"/>
          <w:sz w:val="32"/>
        </w:rPr>
        <w:t>四、第二问：预期收益估计与组合优化</w:t>
      </w:r>
    </w:p>
    <w:p>
      <w:pPr>
        <w:spacing w:before="140" w:after="120"/>
        <w:keepNext w:val="1"/>
      </w:pPr>
      <w:r>
        <w:rPr>
          <w:rFonts w:ascii="Noto Sans CJK SC" w:hAnsi="Noto Sans CJK SC" w:eastAsia="Noto Sans CJK SC"/>
          <w:b/>
          <w:color w:val="1F4E79"/>
          <w:sz w:val="26"/>
        </w:rPr>
        <w:t>4.1 预期收益率计算方法</w:t>
      </w:r>
    </w:p>
    <w:p>
      <w:pPr>
        <w:spacing w:line="348" w:lineRule="auto" w:after="120"/>
        <w:ind w:firstLine="420"/>
        <w:jc w:val="both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首先，使用第一题中计算得到的因子值预测所有股票下一期的预期收益。本文采用简单的线性因子模型：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expected_return_{i,T+1} = beta_hat_T × factor_zscore_{i,T}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val="369"/>
          <w:tblHeader w:val="true"/>
          <w:cantSplit/>
        </w:trPr>
        <w:tc>
          <w:tcPr>
            <w:tcW w:type="dxa" w:w="29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6123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factor_zscore</w:t>
            </w:r>
          </w:p>
        </w:tc>
        <w:tc>
          <w:tcPr>
            <w:tcW w:type="dxa" w:w="612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第一题中未经过行业和市值中性化处理的 z-score 因子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realized_return</w:t>
            </w:r>
          </w:p>
        </w:tc>
        <w:tc>
          <w:tcPr>
            <w:tcW w:type="dxa" w:w="612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第一题中已经计算好的未来真实收益，用于估计历史因子收益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val="369"/>
          <w:tblHeader w:val="true"/>
          <w:cantSplit/>
        </w:trPr>
        <w:tc>
          <w:tcPr>
            <w:tcW w:type="dxa" w:w="29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6123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realized_beta_t</w:t>
            </w:r>
          </w:p>
        </w:tc>
        <w:tc>
          <w:tcPr>
            <w:tcW w:type="dxa" w:w="612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第 t 日截面回归得到的因子收益率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beta_hat_T</w:t>
            </w:r>
          </w:p>
        </w:tc>
        <w:tc>
          <w:tcPr>
            <w:tcW w:type="dxa" w:w="612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过去窗口期 realized_beta 的滚动平均值，作为预测系数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expected_return</w:t>
            </w:r>
          </w:p>
        </w:tc>
        <w:tc>
          <w:tcPr>
            <w:tcW w:type="dxa" w:w="6123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预测得到的下一期股票收益率，即组合优化中的 mu</w:t>
            </w:r>
          </w:p>
        </w:tc>
      </w:tr>
    </w:tbl>
    <w:p>
      <w:pPr>
        <w:spacing w:after="0"/>
      </w:pPr>
    </w:p>
    <w:p>
      <w:pPr>
        <w:spacing w:line="348" w:lineRule="auto" w:after="120"/>
        <w:ind w:firstLine="420"/>
        <w:jc w:val="both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每天使用当日截面数据进行一组线性回归：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realized_return_{i,t} = beta_t × factor_zscore_{i,t} + error_{i,t}</w:t>
            </w:r>
          </w:p>
        </w:tc>
      </w:tr>
    </w:tbl>
    <w:p>
      <w:pPr>
        <w:spacing w:after="0"/>
      </w:pPr>
    </w:p>
    <w:p>
      <w:pPr>
        <w:spacing w:line="348" w:lineRule="auto" w:after="120"/>
        <w:ind w:firstLine="420"/>
        <w:jc w:val="both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为了提高 beta 的稳定性，不直接使用单日 beta_t，而是对历史 beta_t 做 60 日滚动平均：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beta_hat_T = mean(beta_{T-window}, ..., beta_{T-1})</w:t>
            </w:r>
          </w:p>
        </w:tc>
      </w:tr>
    </w:tbl>
    <w:p>
      <w:pPr>
        <w:spacing w:after="0"/>
      </w:pPr>
    </w:p>
    <w:p>
      <w:pPr>
        <w:spacing w:before="140" w:after="120"/>
        <w:keepNext w:val="1"/>
      </w:pPr>
      <w:r>
        <w:rPr>
          <w:rFonts w:ascii="Noto Sans CJK SC" w:hAnsi="Noto Sans CJK SC" w:eastAsia="Noto Sans CJK SC"/>
          <w:b/>
          <w:color w:val="1F4E79"/>
          <w:sz w:val="26"/>
        </w:rPr>
        <w:t>4.2 组合优化回测流程</w:t>
      </w:r>
    </w:p>
    <w:p>
      <w:pPr>
        <w:spacing w:after="100" w:line="336" w:lineRule="auto"/>
        <w:ind w:left="312" w:hanging="312"/>
      </w:pPr>
      <w:r>
        <w:rPr>
          <w:rFonts w:ascii="Noto Serif CJK SC" w:hAnsi="Noto Serif CJK SC" w:eastAsia="Noto Serif CJK SC"/>
          <w:color w:val="222222"/>
          <w:sz w:val="21"/>
        </w:rPr>
        <w:t xml:space="preserve">1. </w:t>
      </w:r>
      <w:r>
        <w:rPr>
          <w:rFonts w:ascii="Noto Serif CJK SC" w:hAnsi="Noto Serif CJK SC" w:eastAsia="Noto Serif CJK SC"/>
          <w:color w:val="222222"/>
          <w:sz w:val="21"/>
        </w:rPr>
        <w:t>按 factor_zscore 从高到低排序，选出前 100 只股票作为候选股票池；</w:t>
      </w:r>
    </w:p>
    <w:p>
      <w:pPr>
        <w:spacing w:after="100" w:line="336" w:lineRule="auto"/>
        <w:ind w:left="312" w:hanging="312"/>
      </w:pPr>
      <w:r>
        <w:rPr>
          <w:rFonts w:ascii="Noto Serif CJK SC" w:hAnsi="Noto Serif CJK SC" w:eastAsia="Noto Serif CJK SC"/>
          <w:color w:val="222222"/>
          <w:sz w:val="21"/>
        </w:rPr>
        <w:t xml:space="preserve">2. </w:t>
      </w:r>
      <w:r>
        <w:rPr>
          <w:rFonts w:ascii="Noto Serif CJK SC" w:hAnsi="Noto Serif CJK SC" w:eastAsia="Noto Serif CJK SC"/>
          <w:color w:val="222222"/>
          <w:sz w:val="21"/>
        </w:rPr>
        <w:t>使用过去 60 天真实收益率估计候选股票的协方差矩阵；</w:t>
      </w:r>
    </w:p>
    <w:p>
      <w:pPr>
        <w:spacing w:after="100" w:line="336" w:lineRule="auto"/>
        <w:ind w:left="312" w:hanging="312"/>
      </w:pPr>
      <w:r>
        <w:rPr>
          <w:rFonts w:ascii="Noto Serif CJK SC" w:hAnsi="Noto Serif CJK SC" w:eastAsia="Noto Serif CJK SC"/>
          <w:color w:val="222222"/>
          <w:sz w:val="21"/>
        </w:rPr>
        <w:t xml:space="preserve">3. </w:t>
      </w:r>
      <w:r>
        <w:rPr>
          <w:rFonts w:ascii="Noto Serif CJK SC" w:hAnsi="Noto Serif CJK SC" w:eastAsia="Noto Serif CJK SC"/>
          <w:color w:val="222222"/>
          <w:sz w:val="21"/>
        </w:rPr>
        <w:t>对协方差矩阵进行 20% shrinkage，提高风险估计稳定性；</w:t>
      </w:r>
    </w:p>
    <w:p>
      <w:pPr>
        <w:spacing w:after="100" w:line="336" w:lineRule="auto"/>
        <w:ind w:left="312" w:hanging="312"/>
      </w:pPr>
      <w:r>
        <w:rPr>
          <w:rFonts w:ascii="Noto Serif CJK SC" w:hAnsi="Noto Serif CJK SC" w:eastAsia="Noto Serif CJK SC"/>
          <w:color w:val="222222"/>
          <w:sz w:val="21"/>
        </w:rPr>
        <w:t xml:space="preserve">4. </w:t>
      </w:r>
      <w:r>
        <w:rPr>
          <w:rFonts w:ascii="Noto Serif CJK SC" w:hAnsi="Noto Serif CJK SC" w:eastAsia="Noto Serif CJK SC"/>
          <w:color w:val="222222"/>
          <w:sz w:val="21"/>
        </w:rPr>
        <w:t>在收益、风险、个股权重和行业权重约束下求解组合权重；</w:t>
      </w:r>
    </w:p>
    <w:p>
      <w:pPr>
        <w:spacing w:after="100" w:line="336" w:lineRule="auto"/>
        <w:ind w:left="312" w:hanging="312"/>
      </w:pPr>
      <w:r>
        <w:rPr>
          <w:rFonts w:ascii="Noto Serif CJK SC" w:hAnsi="Noto Serif CJK SC" w:eastAsia="Noto Serif CJK SC"/>
          <w:color w:val="222222"/>
          <w:sz w:val="21"/>
        </w:rPr>
        <w:t xml:space="preserve">5. </w:t>
      </w:r>
      <w:r>
        <w:rPr>
          <w:rFonts w:ascii="Noto Serif CJK SC" w:hAnsi="Noto Serif CJK SC" w:eastAsia="Noto Serif CJK SC"/>
          <w:color w:val="222222"/>
          <w:sz w:val="21"/>
        </w:rPr>
        <w:t>使用当期真实 realized_return 计算组合实际收益；</w:t>
      </w:r>
    </w:p>
    <w:p>
      <w:pPr>
        <w:spacing w:after="100" w:line="336" w:lineRule="auto"/>
        <w:ind w:left="312" w:hanging="312"/>
      </w:pPr>
      <w:r>
        <w:rPr>
          <w:rFonts w:ascii="Noto Serif CJK SC" w:hAnsi="Noto Serif CJK SC" w:eastAsia="Noto Serif CJK SC"/>
          <w:color w:val="222222"/>
          <w:sz w:val="21"/>
        </w:rPr>
        <w:t xml:space="preserve">6. </w:t>
      </w:r>
      <w:r>
        <w:rPr>
          <w:rFonts w:ascii="Noto Serif CJK SC" w:hAnsi="Noto Serif CJK SC" w:eastAsia="Noto Serif CJK SC"/>
          <w:color w:val="222222"/>
          <w:sz w:val="21"/>
        </w:rPr>
        <w:t>累积每日组合收益，得到净值曲线和相关评价指标。</w:t>
      </w:r>
    </w:p>
    <w:p>
      <w:pPr>
        <w:spacing w:before="140" w:after="120"/>
        <w:keepNext w:val="1"/>
      </w:pPr>
      <w:r>
        <w:rPr>
          <w:rFonts w:ascii="Noto Sans CJK SC" w:hAnsi="Noto Sans CJK SC" w:eastAsia="Noto Sans CJK SC"/>
          <w:b/>
          <w:color w:val="1F4E79"/>
          <w:sz w:val="26"/>
        </w:rPr>
        <w:t>4.3 组合优化模型</w:t>
      </w:r>
    </w:p>
    <w:p>
      <w:pPr>
        <w:spacing w:line="348" w:lineRule="auto" w:after="120"/>
        <w:ind w:firstLine="420"/>
        <w:jc w:val="both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本文使用二次规划方法进行组合权重优化。优化目标是在满足风险和持仓约束的前提下，最大化组合预期收益。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maximize     mu' w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subject to   sum(w) = 1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w' Sigma w &lt;= max_variance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0 &lt;= w_i &lt;= 0.05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industry_weight_j &lt;= 0.20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val="369"/>
          <w:tblHeader w:val="true"/>
          <w:cantSplit/>
        </w:trPr>
        <w:tc>
          <w:tcPr>
            <w:tcW w:type="dxa" w:w="396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约束/变量</w:t>
            </w:r>
          </w:p>
        </w:tc>
        <w:tc>
          <w:tcPr>
            <w:tcW w:type="dxa" w:w="510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mu</w:t>
            </w:r>
          </w:p>
        </w:tc>
        <w:tc>
          <w:tcPr>
            <w:tcW w:type="dxa" w:w="51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候选股票的预期收益率向量，由线性因子模型预测得到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Sigma</w:t>
            </w:r>
          </w:p>
        </w:tc>
        <w:tc>
          <w:tcPr>
            <w:tcW w:type="dxa" w:w="51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候选股票收益率协方差矩阵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w</w:t>
            </w:r>
          </w:p>
        </w:tc>
        <w:tc>
          <w:tcPr>
            <w:tcW w:type="dxa" w:w="51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待求解的组合权重向量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sum(w) = 1</w:t>
            </w:r>
          </w:p>
        </w:tc>
        <w:tc>
          <w:tcPr>
            <w:tcW w:type="dxa" w:w="51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组合满仓约束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w' Sigma w &lt;= max_variance</w:t>
            </w:r>
          </w:p>
        </w:tc>
        <w:tc>
          <w:tcPr>
            <w:tcW w:type="dxa" w:w="51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组合风险约束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0 &lt;= w_i &lt;= 0.05</w:t>
            </w:r>
          </w:p>
        </w:tc>
        <w:tc>
          <w:tcPr>
            <w:tcW w:type="dxa" w:w="51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个股权重约束，单只股票最高不超过 5%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6"/>
              </w:rPr>
              <w:t>industry_weight_j &lt;= 0.20</w:t>
            </w:r>
          </w:p>
        </w:tc>
        <w:tc>
          <w:tcPr>
            <w:tcW w:type="dxa" w:w="51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6"/>
              </w:rPr>
              <w:t>行业权重约束，单个行业最高不超过 20%</w:t>
            </w:r>
          </w:p>
        </w:tc>
      </w:tr>
    </w:tbl>
    <w:p>
      <w:pPr>
        <w:spacing w:after="0"/>
      </w:pPr>
    </w:p>
    <w:p>
      <w:pPr>
        <w:spacing w:before="80" w:after="200" w:line="252" w:lineRule="auto"/>
        <w:pBdr>
          <w:left w:val="single" w:sz="18" w:space="7" w:color="1F4E79"/>
        </w:pBdr>
        <w:keepNext w:val="1"/>
      </w:pPr>
      <w:r>
        <w:rPr>
          <w:rFonts w:ascii="Noto Sans CJK SC" w:hAnsi="Noto Sans CJK SC" w:eastAsia="Noto Sans CJK SC"/>
          <w:b/>
          <w:color w:val="1F4E79"/>
          <w:sz w:val="32"/>
        </w:rPr>
        <w:t>五、参数设置与方法总结</w:t>
      </w:r>
    </w:p>
    <w:p>
      <w:pPr>
        <w:spacing w:before="140" w:after="120"/>
        <w:keepNext w:val="1"/>
      </w:pPr>
      <w:r>
        <w:rPr>
          <w:rFonts w:ascii="Noto Sans CJK SC" w:hAnsi="Noto Sans CJK SC" w:eastAsia="Noto Sans CJK SC"/>
          <w:b/>
          <w:color w:val="1F4E79"/>
          <w:sz w:val="26"/>
        </w:rPr>
        <w:t>5.1 默认参数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69"/>
          <w:tblHeader w:val="true"/>
          <w:cantSplit/>
        </w:trPr>
        <w:tc>
          <w:tcPr>
            <w:tcW w:type="dxa" w:w="260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238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默认值</w:t>
            </w:r>
          </w:p>
        </w:tc>
        <w:tc>
          <w:tcPr>
            <w:tcW w:type="dxa" w:w="408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factor_col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factor_zscore</w:t>
            </w:r>
          </w:p>
        </w:tc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用于预测收益的原始 z-score 因子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window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60</w:t>
            </w:r>
          </w:p>
        </w:tc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滚动平均 beta 的窗口长度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min_periods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20</w:t>
            </w:r>
          </w:p>
        </w:tc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计算 beta 均值所需的最少历史期数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candidate_count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100</w:t>
            </w:r>
          </w:p>
        </w:tc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每天选取因子值最高的前 100 只股票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risk_window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60</w:t>
            </w:r>
          </w:p>
        </w:tc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估计协方差矩阵的历史窗口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min_history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20</w:t>
            </w:r>
          </w:p>
        </w:tc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估计风险所需的最少有效收益数据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max_variance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0.0004</w:t>
            </w:r>
          </w:p>
        </w:tc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组合方差上限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max_weight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0.05</w:t>
            </w:r>
          </w:p>
        </w:tc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单只股票最大权重 5%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max_industry_weight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0.20</w:t>
            </w:r>
          </w:p>
        </w:tc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单个行业最大权重 20%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  <w:noWrap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5"/>
              </w:rPr>
              <w:t>shrinkage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0.20</w:t>
            </w:r>
          </w:p>
        </w:tc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222222"/>
                <w:sz w:val="15"/>
              </w:rPr>
              <w:t>协方差矩阵收缩比例 20%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2F8"/>
            <w:tcBorders>
              <w:top w:val="single" w:sz="3" w:color="D5E4F2"/>
              <w:left w:val="single" w:sz="14" w:color="1F4E79"/>
              <w:bottom w:val="single" w:sz="3" w:color="D5E4F2"/>
              <w:right w:val="single" w:sz="3" w:color="D5E4F2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方法总结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第一步通过截面回归估计历史因子收益 beta_t，并用滚动平均得到更平稳的 beta_hat_T。</w:t>
            </w:r>
          </w:p>
          <w:p>
            <w:pPr>
              <w:spacing w:after="60" w:line="300" w:lineRule="auto"/>
              <w:ind w:left="227" w:hanging="142"/>
            </w:pPr>
            <w:r>
              <w:rPr>
                <w:rFonts w:ascii="Noto Serif CJK SC" w:hAnsi="Noto Serif CJK SC" w:eastAsia="Noto Serif CJK SC"/>
                <w:color w:val="222222"/>
                <w:sz w:val="19"/>
              </w:rPr>
              <w:t>• 第二步使用 beta_hat_T 与当期因子值计算每只股票的 expected_return。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ListBullet"/>
        <w:spacing w:after="160" w:line="324" w:lineRule="auto"/>
        <w:ind w:left="369" w:hanging="170"/>
      </w:pPr>
      <w:r>
        <w:rPr>
          <w:rFonts w:ascii="Noto Serif CJK SC" w:hAnsi="Noto Serif CJK SC" w:eastAsia="Noto Serif CJK SC"/>
          <w:color w:val="222222"/>
          <w:sz w:val="20"/>
        </w:rPr>
        <w:t>第三步在候选股票池中结合预期收益、协方差矩阵和持仓约束，通过二次规划求解组合权重。</w:t>
      </w:r>
    </w:p>
    <w:p>
      <w:pPr>
        <w:pStyle w:val="ListBullet"/>
        <w:spacing w:after="360" w:line="324" w:lineRule="auto"/>
        <w:ind w:left="369" w:hanging="170"/>
      </w:pPr>
      <w:r>
        <w:rPr>
          <w:rFonts w:ascii="Noto Serif CJK SC" w:hAnsi="Noto Serif CJK SC" w:eastAsia="Noto Serif CJK SC"/>
          <w:color w:val="222222"/>
          <w:sz w:val="20"/>
        </w:rPr>
        <w:t>相比简单分层回测，该方法进一步考虑了风险控制、行业分散和个股集中度限制，更接近实际组合优化流程。</w:t>
      </w:r>
    </w:p>
    <w:p>
      <w:pPr>
        <w:spacing w:line="348" w:lineRule="auto" w:after="120"/>
        <w:jc w:val="left"/>
      </w:pPr>
      <w:r>
        <w:rPr>
          <w:rFonts w:ascii="Noto Serif CJK SC" w:hAnsi="Noto Serif CJK SC" w:eastAsia="Noto Serif CJK SC"/>
          <w:b/>
          <w:i w:val="0"/>
          <w:color w:val="222222"/>
          <w:sz w:val="21"/>
        </w:rPr>
        <w:t>最终输出文件：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第二题/expected_returns.parquet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第二题/expected_factor_returns.csv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91" w:bottom="879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969696"/>
        <w:sz w:val="15"/>
      </w:rPr>
      <w:t>单因子检验与组合优化回测报告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单因子检验与组合优化回测报告</dc:title>
  <dc:subject>单因子检验与组合优化回测报告 Word 版</dc:subject>
  <dc:creator/>
  <cp:keywords>单因子检验, IC, Rank IC, 分层回测, 组合优化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