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Construction du projet KÓMBE</w:t>
      </w:r>
    </w:p>
    <w:p>
      <w:r>
        <w:t>Synthèse de décision et guide du dossier actualisé</w:t>
      </w:r>
    </w:p>
    <w:p>
      <w:r>
        <w:t>Version documentaire 2.0  |  17 septembre 2026</w:t>
      </w:r>
    </w:p>
    <w:p>
      <w:pPr>
        <w:pStyle w:val="Heading1"/>
      </w:pPr>
      <w:r>
        <w:t>Décision de départ</w:t>
      </w:r>
    </w:p>
    <w:p>
      <w:r>
        <w:t>KÓMBE sera construit à zéro avec des agents IA et des harness. Le dossier conserve les exigences métier et prépare une chaîne de construction dans laquelle les résultats peuvent être vérifiés indépendamment du code candidat. Le lancement avec données réelles reste conditionné à G0.</w:t>
      </w:r>
    </w:p>
    <w:p>
      <w:r>
        <w:t>La cible recommandée est un registre de tontines fermées en XAF. Le pot reste transféré hors de KÓMBE au pilote. Les choix de fournisseurs, versions, règles sensibles et objectifs de reprise doivent être adoptés et prouvés avant ouverture.</w:t>
      </w:r>
    </w:p>
    <w:p>
      <w:pPr>
        <w:pStyle w:val="Heading1"/>
      </w:pPr>
      <w:r>
        <w:t>Contenu de la révision</w:t>
      </w:r>
    </w:p>
    <w:tbl>
      <w:tblPr>
        <w:tblW w:type="auto" w:w="0"/>
        <w:tblLayout w:type="fixed"/>
        <w:tblLook w:firstColumn="1" w:firstRow="1" w:lastColumn="0" w:lastRow="0" w:noHBand="0" w:noVBand="1" w:val="04A0"/>
      </w:tblPr>
      <w:tblGrid>
        <w:gridCol w:w="1944"/>
        <w:gridCol w:w="7848"/>
      </w:tblGrid>
      <w:tr>
        <w:trPr>
          <w:tblHeader/>
          <w:cantSplit/>
        </w:trPr>
        <w:tc>
          <w:tcPr>
            <w:tcW w:type="dxa" w:w="1944"/>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Ensemble</w:t>
            </w:r>
          </w:p>
        </w:tc>
        <w:tc>
          <w:tcPr>
            <w:tcW w:type="dxa" w:w="7848"/>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Contenu</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Audit</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22 constats, 8 zones noires, 12 zones grises et 18 risques liés aux agents.</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Construction</w:t>
            </w:r>
          </w:p>
        </w:tc>
        <w:tc>
          <w:tcPr>
            <w:tcW w:type="dxa" w:w="7848"/>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32 prompts : un maître, C00 à C29 et le lot préalable H00.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Technologies</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71 entrées ; 3 alternatives chacune, soit 213 positions contextualisées.</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Recette</w:t>
            </w:r>
          </w:p>
        </w:tc>
        <w:tc>
          <w:tcPr>
            <w:tcW w:type="dxa" w:w="7848"/>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90 scénarios applicatifs, dont 63 G0 ; 20 cas supplémentaires pour la chaîne de construction.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Skills KÓMBE</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6 cahiers de conception à implémenter et évaluer ; aucun plugin activé.</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Livraison</w:t>
            </w:r>
          </w:p>
        </w:tc>
        <w:tc>
          <w:tcPr>
            <w:tcW w:type="dxa" w:w="7848"/>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Plan de déploiement, reprise, gouvernance, Markdown, JSON et lecture HTML.</w:t>
            </w:r>
          </w:p>
        </w:tc>
      </w:tr>
    </w:tbl>
    <w:p/>
    <w:p>
      <w:pPr>
        <w:pStyle w:val="Heading1"/>
      </w:pPr>
      <w:r>
        <w:t>État des preuves</w:t>
      </w:r>
    </w:p>
    <w:p>
      <w:r>
        <w:t>Les documents décrivent la cible et les travaux à réaliser. Aucun logiciel KÓMBE ni environnement de production n’est audité ici. Les scripts Python de référence sont conservés ; le renforcement du contrôleur, de l’isolation et de la provenance reste à implémenter. Aucun label de conformité ou certification n’est attribué.</w:t>
      </w:r>
    </w:p>
    <w:p>
      <w:r>
        <w:t>Commencer par 00_LIRE_MOI.md et DECISIONS_ET_VERSION.md. Les sources initiales sont préservées pour traçabilité.</w:t>
      </w:r>
    </w:p>
    <w:p>
      <w:r>
        <w:br w:type="page"/>
      </w:r>
    </w:p>
    <w:p>
      <w:pPr>
        <w:pStyle w:val="Heading1"/>
      </w:pPr>
      <w:r>
        <w:t>Risques à fermer avant le pilote</w:t>
      </w:r>
    </w:p>
    <w:p>
      <w:r>
        <w:t>Le principal risque est une erreur commune au code et aux tests écrits par les agents. La première protection est une règle métier adoptée, accompagnée d’exemples indépendants. Les permissions techniques doivent ensuite empêcher qu’un agent neutralise les contrôles qui évaluent son travail.</w:t>
      </w:r>
    </w:p>
    <w:tbl>
      <w:tblPr>
        <w:tblW w:type="auto" w:w="0"/>
        <w:tblLayout w:type="fixed"/>
        <w:tblLook w:firstColumn="1" w:firstRow="1" w:lastColumn="0" w:lastRow="0" w:noHBand="0" w:noVBand="1" w:val="04A0"/>
      </w:tblPr>
      <w:tblGrid>
        <w:gridCol w:w="1944"/>
        <w:gridCol w:w="7848"/>
      </w:tblGrid>
      <w:tr>
        <w:trPr>
          <w:tblHeader/>
          <w:cantSplit/>
        </w:trPr>
        <w:tc>
          <w:tcPr>
            <w:tcW w:type="dxa" w:w="1944"/>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Priorité</w:t>
            </w:r>
          </w:p>
        </w:tc>
        <w:tc>
          <w:tcPr>
            <w:tcW w:type="dxa" w:w="7848"/>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Décision ou preuve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Sens des statuts</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Séparer déclaration, confirmation humaine et vérification bancaire. Une validation ne prouve pas à elle seule un transfert externe.</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Rôles initiaux</w:t>
            </w:r>
          </w:p>
        </w:tc>
        <w:tc>
          <w:tcPr>
            <w:tcW w:type="dxa" w:w="7848"/>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Définir nomination, acceptation et activation avant toute opération. Empêcher une auto-validation par cumul des rôles.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Corrections</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Définir compensation, remplacement et frais ; conserver les écritures initiales. Une contre-écriture ne rembourse pas l’argent externe.</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Concurrence</w:t>
            </w:r>
          </w:p>
        </w:tc>
        <w:tc>
          <w:tcPr>
            <w:tcW w:type="dxa" w:w="7848"/>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Tester des requêtes simultanées sur PostgreSQL réel : réservations, dépassements, doublons, pannes et reprises.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Isolation</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Contrôler groupes, objets, champs et périodes sur API, DB, exports et tâches automatiques.</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Données et reprise</w:t>
            </w:r>
          </w:p>
        </w:tc>
        <w:tc>
          <w:tcPr>
            <w:tcW w:type="dxa" w:w="7848"/>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Nommer les responsables ; finaliser contrats et durées ; restaurer en réappliquant révocations et effacements.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Exploitation</w:t>
            </w:r>
          </w:p>
        </w:tc>
        <w:tc>
          <w:tcPr>
            <w:tcW w:type="dxa" w:w="7848"/>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Fixer support, suppléance, incidents et budget. Mesurer usage terrain, coûts et paiements réels.</w:t>
            </w:r>
          </w:p>
        </w:tc>
      </w:tr>
    </w:tbl>
    <w:p/>
    <w:p>
      <w:pPr>
        <w:pStyle w:val="Heading1"/>
      </w:pPr>
      <w:r>
        <w:t>Zones encore ouvertes</w:t>
      </w:r>
    </w:p>
    <w:p>
      <w:r>
        <w:t>La construction neuve ferme la question de la réutilisation d’un ancien MVP. Elle ne résout pas les ambiguïtés de départ d’un membre, d’accès support, de cache hors connexion ou de fin d’abonnement. Ces points restent à arbitrer dans les ADR et à relier aux tests.</w:t>
      </w:r>
    </w:p>
    <w:p>
      <w:r>
        <w:t>Le dossier initial proposait RPO 24 h et RTO 8 h. La cible de perte maximale d’une heure reste une recommandation à chiffrer et adopter. Aucune performance de restauration n’est encore démontrée.</w:t>
      </w:r>
    </w:p>
    <w:p>
      <w:r>
        <w:t>Détails : 01_Audit/ZONES_NOIRES_ET_GRISES.md, RISQUES_AGENTS_IA.md et REGISTRE_RISQUES_IA.json. Les risques y restent ouverts tant que leur preuve manque.</w:t>
      </w:r>
    </w:p>
    <w:p>
      <w:r>
        <w:br w:type="page"/>
      </w:r>
    </w:p>
    <w:p>
      <w:pPr>
        <w:pStyle w:val="Heading1"/>
      </w:pPr>
      <w:r>
        <w:t>Méthode et outils proposés</w:t>
      </w:r>
    </w:p>
    <w:p>
      <w:r>
        <w:t>Spec Kit est recommandé comme workflow principal. ECC et Trail of Bits fournissent des capacités sélectionnées. La compatibilité, les hooks, licences et permissions doivent être vérifiés à la version retenue ; aucun pack n’est installé dans cette livraison.</w:t>
      </w:r>
    </w:p>
    <w:tbl>
      <w:tblPr>
        <w:tblW w:type="auto" w:w="0"/>
        <w:tblLayout w:type="fixed"/>
        <w:tblLook w:firstColumn="1" w:firstRow="1" w:lastColumn="0" w:lastRow="0" w:noHBand="0" w:noVBand="1" w:val="04A0"/>
      </w:tblPr>
      <w:tblGrid>
        <w:gridCol w:w="2232"/>
        <w:gridCol w:w="7560"/>
      </w:tblGrid>
      <w:tr>
        <w:trPr>
          <w:tblHeader/>
          <w:cantSplit/>
        </w:trPr>
        <w:tc>
          <w:tcPr>
            <w:tcW w:type="dxa" w:w="2232"/>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Outil ou méthode</w:t>
            </w:r>
          </w:p>
        </w:tc>
        <w:tc>
          <w:tcPr>
            <w:tcW w:type="dxa" w:w="7560"/>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Usage dans KÓMBE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Spec Kit</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Constitution, spécification, plan, tâches et vérification de convergence.</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ECC ciblé</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tdd-workflow, verification-loop, security-review et agent code-reviewer.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Trail of Bits ciblé</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Tests de propriétés, mutations, concordance spec/code et validation après patch.</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fast-check</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Générer des cas et séquences reproductibles pour mettre les invariants à l’épreuve.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StrykerJS</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Vérifier que les tests détectent les défauts introduits dans une copie du code.</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Testcontainers</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Fournir PostgreSQL réel et isolé pour les tests de transaction et concurrence.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Playwright</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Vérifier les parcours dans les navigateurs et les comportements de session.</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Gitleaks et Trivy</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Compléter la recherche de secrets, vulnérabilités et configurations risquées.</w:t>
            </w:r>
          </w:p>
        </w:tc>
      </w:tr>
    </w:tbl>
    <w:p/>
    <w:p>
      <w:pPr>
        <w:pStyle w:val="Heading1"/>
      </w:pPr>
      <w:r>
        <w:t>Alternatives et limites</w:t>
      </w:r>
    </w:p>
    <w:p>
      <w:r>
        <w:t>OpenSpec peut remplacer Spec Kit pour une gestion des changements ; BMAD fournit une méthode produit et architecture plus large ; Superpowers peut fournir une autre discipline d’exécution. Définir un seul workflow principal et éviter les instructions globales concurrentes.</w:t>
      </w:r>
    </w:p>
    <w:p>
      <w:r>
        <w:t>Les trois alternatives de chaque entrée du registre sont contextualisées. Certaines nécessitent un autre langage ou un harness séparé : elles ne sont pas des remplacements directs pour une application TypeScript. Les versions adoptées et essais de compatibilité restent à renseigner.</w:t>
      </w:r>
    </w:p>
    <w:p>
      <w:r>
        <w:t>Catalogue : 07_Construction_IA/DEPOTS_ET_SKILLS.md. Sources officielles : github/spec-kit, affaan-m/ECC, trailofbits/skills, obra/superpowers, Fission-AI/OpenSpec et bmad-code-org/BMAD-METHOD sur GitHub.</w:t>
      </w:r>
    </w:p>
    <w:p>
      <w:r>
        <w:br w:type="page"/>
      </w:r>
    </w:p>
    <w:p>
      <w:pPr>
        <w:pStyle w:val="Heading1"/>
      </w:pPr>
      <w:r>
        <w:t>Renforcer le harness avant les lots métier</w:t>
      </w:r>
    </w:p>
    <w:p>
      <w:r>
        <w:t>H00 crée et éprouve la chaîne de validation après le squelette C00. Les 20 scénarios H01 à H20 sont spécifiés, non exécutés. Un programme témoin fictif permet d’évaluer le contrôleur avant que tout KÓMBE existe ; G0 exigera ensuite les essais sur le vrai produit.</w:t>
      </w:r>
    </w:p>
    <w:tbl>
      <w:tblPr>
        <w:tblW w:type="auto" w:w="0"/>
        <w:tblLayout w:type="fixed"/>
        <w:tblLook w:firstColumn="1" w:firstRow="1" w:lastColumn="0" w:lastRow="0" w:noHBand="0" w:noVBand="1" w:val="04A0"/>
      </w:tblPr>
      <w:tblGrid>
        <w:gridCol w:w="2232"/>
        <w:gridCol w:w="7560"/>
      </w:tblGrid>
      <w:tr>
        <w:trPr>
          <w:tblHeader/>
          <w:cantSplit/>
        </w:trPr>
        <w:tc>
          <w:tcPr>
            <w:tcW w:type="dxa" w:w="2232"/>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Limite actuelle</w:t>
            </w:r>
          </w:p>
        </w:tc>
        <w:tc>
          <w:tcPr>
            <w:tcW w:type="dxa" w:w="7560"/>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Renforcement exigé</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Observations déclarées</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Relire les faits depuis un observateur indépendant ; détecter l’adaptateur qui annonce un résultat sans action réelle.</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Attentes sur disque</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Séparer les espaces du contrôleur et du candidat ; retirer les attentes du message seul ne suffit pas.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SHA fourni en argument</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Lier commit, build et empreinte de l’artefact réellement exécuté dans la CI de confiance.</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Identités textuelles</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Vérifier personnes, rôles et approbations authentifiées. Deux noms différents ne prouvent pas deux relecteurs.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Variables héritées</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Transmettre uniquement l’environnement autorisé, sans secrets prod ; limiter disque, réseau et ressources.</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Contrôleur modifiable</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Évaluer le candidat avec la politique approuvée, inaccessible à sa capacité de modification.</w:t>
            </w:r>
          </w:p>
        </w:tc>
      </w:tr>
    </w:tbl>
    <w:p/>
    <w:p>
      <w:pPr>
        <w:pStyle w:val="Heading1"/>
      </w:pPr>
      <w:r>
        <w:t>Ce qui doit faire échouer la validation</w:t>
      </w:r>
    </w:p>
    <w:p>
      <w:r>
        <w:t>Faux PASS, rapport ancien, mauvaise version, scénario critique absent, hook non approuvé, attente accessible, injection documentaire, permission excessive ou effet externe réel. La réussite après une relance ne doit pas effacer une première erreur inexpliquée.</w:t>
      </w:r>
    </w:p>
    <w:p>
      <w:pPr>
        <w:pStyle w:val="Heading1"/>
      </w:pPr>
      <w:r>
        <w:t>Preuve de qualité des tests</w:t>
      </w:r>
    </w:p>
    <w:p>
      <w:r>
        <w:t>Supprimer volontairement un contrôle d’autorisation, d’unicité ou de montant dans un environnement jetable doit produire un échec ciblé. Les tests de propriétés varient les séquences et conservent la graine. Les mutants survivants sont examinés ; aucun pourcentage de couverture ne suffit seul.</w:t>
      </w:r>
    </w:p>
    <w:p>
      <w:r>
        <w:t>Le vérificateur Python historique n’impose pas encore toutes ces preuves. C28 doit intégrer un contrôle supérieur ou le remplacer avant de pouvoir accepter G0. Référence : 04_Harness/RENFORCEMENT_HARNESS.md.</w:t>
      </w:r>
    </w:p>
    <w:p>
      <w:r>
        <w:br w:type="page"/>
      </w:r>
    </w:p>
    <w:p>
      <w:pPr>
        <w:pStyle w:val="Heading1"/>
      </w:pPr>
      <w:r>
        <w:t>Organisation et plan de réalisation</w:t>
      </w:r>
    </w:p>
    <w:p>
      <w:r>
        <w:t>C00 prépare le dépôt neuf et ses contrats ; H00 établit G-CONSTRUCTION ; les composants C01 à C29 suivent leurs dépendances. C28 et C29 commencent dès les fondations. Le responsable humain adopte les règles ; les agents produisent des incréments ; la CI vérifie ; les relecteurs autorisés examinent les preuves.</w:t>
      </w:r>
    </w:p>
    <w:tbl>
      <w:tblPr>
        <w:tblW w:type="auto" w:w="0"/>
        <w:tblLayout w:type="fixed"/>
        <w:tblLook w:firstColumn="1" w:firstRow="1" w:lastColumn="0" w:lastRow="0" w:noHBand="0" w:noVBand="1" w:val="04A0"/>
      </w:tblPr>
      <w:tblGrid>
        <w:gridCol w:w="2232"/>
        <w:gridCol w:w="7560"/>
      </w:tblGrid>
      <w:tr>
        <w:trPr>
          <w:tblHeader/>
          <w:cantSplit/>
        </w:trPr>
        <w:tc>
          <w:tcPr>
            <w:tcW w:type="dxa" w:w="2232"/>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Étape</w:t>
            </w:r>
          </w:p>
        </w:tc>
        <w:tc>
          <w:tcPr>
            <w:tcW w:type="dxa" w:w="7560"/>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Sortie attendue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C00 et décisions</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Stack fixée, contrats, ADR, versions, responsabilités et budget.</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H00 et assurance</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Contrôleur isolé, droits minimaux, provenance et 20 cas éprouvés.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Premier parcours</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Groupe, cotisation, confirmation, correction et export testés de bout en bout.</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Cœur complet</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Règles, calendrier, journal, litiges, votes, rapprochement et clôture.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Préparation G0</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Accès, exports, reprise, sécurité, notices, support et chaîne de livraison.</w:t>
            </w:r>
          </w:p>
        </w:tc>
      </w:tr>
      <w:tr>
        <w:trPr>
          <w:cantSplit/>
        </w:trPr>
        <w:tc>
          <w:tcPr>
            <w:tcW w:type="dxa" w:w="2232"/>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Pilote puis extension</w:t>
            </w:r>
          </w:p>
        </w:tc>
        <w:tc>
          <w:tcPr>
            <w:tcW w:type="dxa" w:w="7560"/>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Vagues contrôlées ; mesures d’usage et d’économie ; décisions G1 à G4.</w:t>
            </w:r>
          </w:p>
        </w:tc>
      </w:tr>
    </w:tbl>
    <w:p/>
    <w:p>
      <w:pPr>
        <w:pStyle w:val="Heading1"/>
      </w:pPr>
      <w:r>
        <w:t>Calendrier et coûts</w:t>
      </w:r>
    </w:p>
    <w:p>
      <w:r>
        <w:t>L’enveloppe initiale de douze semaines reste indicative. H00 entre dans la phase de cadrage ; si cette assurance demande plus de temps, toutes les dates sont recalculées. Un agent supplémentaire ne remplace ni la validation métier ni la revue critique. Budgéter IA, CI, stockage des preuves, services et temps humain.</w:t>
      </w:r>
    </w:p>
    <w:p>
      <w:pPr>
        <w:pStyle w:val="Heading1"/>
      </w:pPr>
      <w:r>
        <w:t>Déploiement et reprise</w:t>
      </w:r>
    </w:p>
    <w:p>
      <w:r>
        <w:t>Promouvoir l’artefact testé, identifié par son empreinte, avec configuration et migrations vérifiées. Utiliser des migrations compatibles et une procédure de reprise ; une restauration ancienne n’est pas un simple bouton de retour arrière après des écritures acceptées.</w:t>
      </w:r>
    </w:p>
    <w:p>
      <w:r>
        <w:t>La cible de déploiement reste proposée : monolithe TypeScript/Fastify, React/Vite, PostgreSQL et worker outbox ; fournisseurs à confirmer. Les offres gratuites ne prouvent pas la disponibilité ou la sauvegarde nécessaire au pilote réel.</w:t>
      </w:r>
    </w:p>
    <w:p>
      <w:r>
        <w:t>Plan complet : 05_Deploiement/PLAN_GLOBAL_DEPLOIEMENT.md et 07_Construction_IA/PLAN_DE_MISE_EN_PLACE.md.</w:t>
      </w:r>
    </w:p>
    <w:p>
      <w:r>
        <w:br w:type="page"/>
      </w:r>
    </w:p>
    <w:p>
      <w:pPr>
        <w:pStyle w:val="Heading1"/>
      </w:pPr>
      <w:r>
        <w:t>Skills propres à KÓMBE et décisions finales</w:t>
      </w:r>
    </w:p>
    <w:p>
      <w:r>
        <w:t>Les six fiches suivantes sont des cahiers de conception. H00 doit produire les skills installables, les versionner et les évaluer dans l’outil hôte. Aucun skill n’accorde lui-même des permissions techniques.</w:t>
      </w:r>
    </w:p>
    <w:tbl>
      <w:tblPr>
        <w:tblW w:type="auto" w:w="0"/>
        <w:tblLayout w:type="fixed"/>
        <w:tblLook w:firstColumn="1" w:firstRow="1" w:lastColumn="0" w:lastRow="0" w:noHBand="0" w:noVBand="1" w:val="04A0"/>
      </w:tblPr>
      <w:tblGrid>
        <w:gridCol w:w="3096"/>
        <w:gridCol w:w="6696"/>
      </w:tblGrid>
      <w:tr>
        <w:trPr>
          <w:tblHeader/>
          <w:cantSplit/>
        </w:trPr>
        <w:tc>
          <w:tcPr>
            <w:tcW w:type="dxa" w:w="3096"/>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Skill proposé</w:t>
            </w:r>
          </w:p>
        </w:tc>
        <w:tc>
          <w:tcPr>
            <w:tcW w:type="dxa" w:w="6696"/>
            <w:vAlign w:val="center"/>
            <w:shd w:fill="17354A"/>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color w:val="FFFFFF"/>
                <w:sz w:val="20"/>
              </w:rPr>
              <w:t>Résultat attendu</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kombe-business-invariants</w:t>
            </w:r>
          </w:p>
        </w:tc>
        <w:tc>
          <w:tcPr>
            <w:tcW w:type="dxa" w:w="6696"/>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Règles adoptées, exemples, contre-exemples et propriétés.</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kombe-authorization-review</w:t>
            </w:r>
          </w:p>
        </w:tc>
        <w:tc>
          <w:tcPr>
            <w:tcW w:type="dxa" w:w="6696"/>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Matrice des accès et preuve des refus sans fuite.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kombe-concurrency-review</w:t>
            </w:r>
          </w:p>
        </w:tc>
        <w:tc>
          <w:tcPr>
            <w:tcW w:type="dxa" w:w="6696"/>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Courses reproductibles, atomicité et reprise des commandes.</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kombe-harness-integrity</w:t>
            </w:r>
          </w:p>
        </w:tc>
        <w:tc>
          <w:tcPr>
            <w:tcW w:type="dxa" w:w="6696"/>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Détection des fausses preuves et des contrôles contournables.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kombe-release-evidence</w:t>
            </w:r>
          </w:p>
        </w:tc>
        <w:tc>
          <w:tcPr>
            <w:tcW w:type="dxa" w:w="6696"/>
            <w:vAlign w:val="center"/>
            <w:shd w:fill="FFFFFF"/>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Dossier de preuves lié à la release, avec blocages explicites.</w:t>
            </w:r>
          </w:p>
        </w:tc>
      </w:tr>
      <w:tr>
        <w:trPr>
          <w:cantSplit/>
        </w:trPr>
        <w:tc>
          <w:tcPr>
            <w:tcW w:type="dxa" w:w="3096"/>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kombe-recovery-drill</w:t>
            </w:r>
          </w:p>
        </w:tc>
        <w:tc>
          <w:tcPr>
            <w:tcW w:type="dxa" w:w="6696"/>
            <w:vAlign w:val="center"/>
            <w:shd w:fill="F1F4F6"/>
            <w:tcBorders>
              <w:top w:val="single" w:sz="4" w:color="D9D9D9"/>
              <w:left w:val="single" w:sz="4" w:color="D9D9D9"/>
              <w:bottom w:val="single" w:sz="4" w:color="D9D9D9"/>
              <w:right w:val="single" w:sz="4" w:color="D9D9D9"/>
            </w:tcBorders>
            <w:tcMar>
              <w:top w:w="80" w:type="dxa"/>
              <w:bottom w:w="80" w:type="dxa"/>
              <w:left w:w="105" w:type="dxa"/>
              <w:right w:w="105" w:type="dxa"/>
            </w:tcMar>
          </w:tcPr>
          <w:p>
            <w:pPr>
              <w:spacing w:after="40" w:line="240" w:lineRule="auto"/>
            </w:pPr>
            <w:r>
              <w:rPr>
                <w:b w:val="0"/>
                <w:color w:val="17212B"/>
                <w:sz w:val="20"/>
              </w:rPr>
              <w:t>Restauration chronométrée, rapprochement et droits vérifiés.</w:t>
            </w:r>
          </w:p>
        </w:tc>
      </w:tr>
    </w:tbl>
    <w:p/>
    <w:p>
      <w:pPr>
        <w:pStyle w:val="Heading1"/>
      </w:pPr>
      <w:r>
        <w:t>Décisions à prendre avant exécution</w:t>
      </w:r>
    </w:p>
    <w:p>
      <w:r>
        <w:t>Choisir l’outil hôte des agents, les versions des méthodes et les profils minimaux. Nommer responsable produit, lead, QA/sécurité et exploitation. Adopter les règles sensibles et les objectifs de reprise. Choisir une plateforme capable de protéger effectivement les contrôles de livraison et confirmer son coût.</w:t>
      </w:r>
    </w:p>
    <w:p>
      <w:pPr>
        <w:pStyle w:val="Heading1"/>
      </w:pPr>
      <w:r>
        <w:t>Référentiels et sources</w:t>
      </w:r>
    </w:p>
    <w:p>
      <w:r>
        <w:t>Le programme de preuves conserve OWASP ASVS, WCAG, NIST SSDF, bonnes pratiques de provenance et continuité. Les règles applicables aux données et au montage du service doivent être validées pour les pays concernés. Le dossier ne déclare aucune certification mondiale.</w:t>
      </w:r>
    </w:p>
    <w:p>
      <w:r>
        <w:t>Sources générales : OWASP AI Agent Security ; NIST SP 800-218 ; GitHub Secure use reference. Les liens et dates sont dans 06_Sources/SOURCES_WEB.md. Recherches fournisseurs : 15 septembre ; méthodes et agents : 16 septembre ; finalisation documentaire : 17 septembre 2026.</w:t>
      </w:r>
    </w:p>
    <w:p>
      <w:r>
        <w:t>Pour la réalisation, ouvrir DOSSIER_NAVIGABLE.html ou les Markdown correspondants. Le rapport de livraison distingue les contrôles documentaires effectués, les auto-tests de référence et les recettes encore à exécuter.</w:t>
      </w:r>
    </w:p>
    <w:sectPr w:rsidR="00FC693F" w:rsidRPr="0006063C" w:rsidSect="00034616">
      <w:footerReference w:type="default" r:id="rId9"/>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du projet KÓMBE</dc:title>
  <dc:subject>Synthèse de la révision documentaire 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