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i w:val="false"/>
          <w:iCs w:val="false"/>
          <w:color w:val="534AB7"/>
          <w:sz w:val="48"/>
          <w:szCs w:val="48"/>
        </w:rPr>
        <w:t xml:space="preserve">CORPUZ-2024</w:t>
      </w:r>
    </w:p>
    <w:p>
      <w:pPr>
        <w:spacing w:after="60" w:before="0"/>
      </w:pPr>
      <w:r>
        <w:rPr>
          <w:rFonts w:ascii="Arial" w:cs="Arial" w:eastAsia="Arial" w:hAnsi="Arial"/>
          <w:b w:val="false"/>
          <w:bCs w:val="false"/>
          <w:i w:val="false"/>
          <w:iCs w:val="false"/>
          <w:color w:val="6B7280"/>
          <w:sz w:val="28"/>
          <w:szCs w:val="28"/>
        </w:rPr>
        <w:t xml:space="preserve">cost_risk_score_agg_dashb</w:t>
      </w:r>
    </w:p>
    <w:p>
      <w:pPr>
        <w:spacing w:after="40" w:before="0"/>
      </w:pPr>
      <w:r>
        <w:rPr>
          <w:rFonts w:ascii="Arial" w:cs="Arial" w:eastAsia="Arial" w:hAnsi="Arial"/>
          <w:b/>
          <w:bCs/>
          <w:i w:val="false"/>
          <w:iCs w:val="false"/>
          <w:color w:val="1F2937"/>
          <w:sz w:val="36"/>
          <w:szCs w:val="36"/>
        </w:rPr>
        <w:t xml:space="preserve">CMS MSSP County-Level Analytics — Project Plan v5</w:t>
      </w:r>
    </w:p>
    <w:p>
      <w:pPr>
        <w:spacing w:after="60" w:before="0"/>
      </w:pPr>
      <w:r>
        <w:rPr>
          <w:rFonts w:ascii="Arial" w:cs="Arial" w:eastAsia="Arial" w:hAnsi="Arial"/>
          <w:b w:val="false"/>
          <w:bCs w:val="false"/>
          <w:i/>
          <w:iCs/>
          <w:color w:val="6B7280"/>
          <w:sz w:val="20"/>
          <w:szCs w:val="20"/>
        </w:rPr>
        <w:t xml:space="preserve">April 2026  |  Nicole Corpuz  |  Final consolidated version — 3 modules, v4 corrections integrated, v4 delta log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vAlign w:val="top"/>
          </w:tcPr>
          <w:p>
            <w:r>
              <w:rPr>
                <w:rFonts w:ascii="Arial" w:cs="Arial" w:eastAsia="Arial" w:hAnsi="Arial"/>
                <w:b/>
                <w:bCs/>
                <w:i w:val="false"/>
                <w:iCs w:val="false"/>
                <w:color w:val="534AB7"/>
                <w:sz w:val="17"/>
                <w:szCs w:val="17"/>
              </w:rPr>
              <w:t xml:space="preserve">Data source</w:t>
            </w:r>
          </w:p>
        </w:tc>
        <w:tc>
          <w:tcPr>
            <w:tcW w:type="dxa" w:w="234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r>
              <w:rPr>
                <w:rFonts w:ascii="Arial" w:cs="Arial" w:eastAsia="Arial" w:hAnsi="Arial"/>
                <w:b w:val="false"/>
                <w:bCs w:val="false"/>
                <w:i w:val="false"/>
                <w:iCs w:val="false"/>
                <w:color w:val="1F2937"/>
                <w:sz w:val="17"/>
                <w:szCs w:val="17"/>
              </w:rPr>
              <w:t xml:space="preserve">CMS MSSP County-Level Expenditure &amp; Risk Score PUF</w:t>
            </w:r>
          </w:p>
        </w:tc>
        <w:tc>
          <w:tcPr>
            <w:tcW w:type="dxa" w:w="234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vAlign w:val="top"/>
          </w:tcPr>
          <w:p>
            <w:r>
              <w:rPr>
                <w:rFonts w:ascii="Arial" w:cs="Arial" w:eastAsia="Arial" w:hAnsi="Arial"/>
                <w:b/>
                <w:bCs/>
                <w:i w:val="false"/>
                <w:iCs w:val="false"/>
                <w:color w:val="534AB7"/>
                <w:sz w:val="17"/>
                <w:szCs w:val="17"/>
              </w:rPr>
              <w:t xml:space="preserve">Pipeline branch</w:t>
            </w:r>
          </w:p>
        </w:tc>
        <w:tc>
          <w:tcPr>
            <w:tcW w:type="dxa" w:w="234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r>
              <w:rPr>
                <w:rFonts w:ascii="Arial" w:cs="Arial" w:eastAsia="Arial" w:hAnsi="Arial"/>
                <w:b w:val="false"/>
                <w:bCs w:val="false"/>
                <w:i w:val="false"/>
                <w:iCs w:val="false"/>
                <w:color w:val="1F2937"/>
                <w:sz w:val="17"/>
                <w:szCs w:val="17"/>
              </w:rPr>
              <w:t xml:space="preserve">codex/create-api-call-workflow-and-documentation</w:t>
            </w:r>
          </w:p>
        </w:tc>
      </w:tr>
      <w:tr>
        <w:tc>
          <w:tcPr>
            <w:tcW w:type="dxa" w:w="234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vAlign w:val="top"/>
          </w:tcPr>
          <w:p>
            <w:r>
              <w:rPr>
                <w:rFonts w:ascii="Arial" w:cs="Arial" w:eastAsia="Arial" w:hAnsi="Arial"/>
                <w:b/>
                <w:bCs/>
                <w:i w:val="false"/>
                <w:iCs w:val="false"/>
                <w:color w:val="534AB7"/>
                <w:sz w:val="17"/>
                <w:szCs w:val="17"/>
              </w:rPr>
              <w:t xml:space="preserve">Modules</w:t>
            </w:r>
          </w:p>
        </w:tc>
        <w:tc>
          <w:tcPr>
            <w:tcW w:type="dxa" w:w="234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r>
              <w:rPr>
                <w:rFonts w:ascii="Arial" w:cs="Arial" w:eastAsia="Arial" w:hAnsi="Arial"/>
                <w:b w:val="false"/>
                <w:bCs w:val="false"/>
                <w:i w:val="false"/>
                <w:iCs w:val="false"/>
                <w:color w:val="1F2937"/>
                <w:sz w:val="17"/>
                <w:szCs w:val="17"/>
              </w:rPr>
              <w:t xml:space="preserve">A (HCC risk flags), B (shared savings), C (PA metrics)</w:t>
            </w:r>
          </w:p>
        </w:tc>
        <w:tc>
          <w:tcPr>
            <w:tcW w:type="dxa" w:w="234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vAlign w:val="top"/>
          </w:tcPr>
          <w:p>
            <w:r>
              <w:rPr>
                <w:rFonts w:ascii="Arial" w:cs="Arial" w:eastAsia="Arial" w:hAnsi="Arial"/>
                <w:b/>
                <w:bCs/>
                <w:i w:val="false"/>
                <w:iCs w:val="false"/>
                <w:color w:val="534AB7"/>
                <w:sz w:val="17"/>
                <w:szCs w:val="17"/>
              </w:rPr>
              <w:t xml:space="preserve">Supersedes</w:t>
            </w:r>
          </w:p>
        </w:tc>
        <w:tc>
          <w:tcPr>
            <w:tcW w:type="dxa" w:w="234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r>
              <w:rPr>
                <w:rFonts w:ascii="Arial" w:cs="Arial" w:eastAsia="Arial" w:hAnsi="Arial"/>
                <w:b w:val="false"/>
                <w:bCs w:val="false"/>
                <w:i w:val="false"/>
                <w:iCs w:val="false"/>
                <w:color w:val="1F2937"/>
                <w:sz w:val="17"/>
                <w:szCs w:val="17"/>
              </w:rPr>
              <w:t xml:space="preserve">v4 (v3_claude) — Module D removed; all comment corrections integrated</w:t>
            </w:r>
          </w:p>
        </w:tc>
      </w:tr>
    </w:tbl>
    <w:p>
      <w:pPr>
        <w:spacing w:after="200" w:before="200"/>
      </w:pPr>
    </w:p>
    <w:p>
      <w:pPr>
        <w:pBdr>
          <w:bottom w:val="single" w:color="D1D5DB" w:sz="4" w:space="1"/>
        </w:pBdr>
        <w:spacing w:after="180" w:before="180"/>
      </w:pPr>
    </w:p>
    <w:p>
      <w:pPr>
        <w:pStyle w:val="Heading1"/>
        <w:spacing w:after="140" w:before="320"/>
      </w:pPr>
      <w:r>
        <w:rPr>
          <w:rFonts w:ascii="Arial" w:cs="Arial" w:eastAsia="Arial" w:hAnsi="Arial"/>
          <w:b/>
          <w:bCs/>
          <w:color w:val="1F2937"/>
          <w:sz w:val="36"/>
          <w:szCs w:val="36"/>
        </w:rPr>
        <w:t xml:space="preserve">01  Policy context, data source &amp; project audience</w:t>
      </w:r>
    </w:p>
    <w:p>
      <w:pPr>
        <w:pStyle w:val="Heading2"/>
        <w:spacing w:after="100" w:before="260"/>
      </w:pPr>
      <w:r>
        <w:rPr>
          <w:rFonts w:ascii="Arial" w:cs="Arial" w:eastAsia="Arial" w:hAnsi="Arial"/>
          <w:b/>
          <w:bCs/>
          <w:color w:val="534AB7"/>
          <w:sz w:val="28"/>
          <w:szCs w:val="28"/>
        </w:rPr>
        <w:t xml:space="preserve">1.1  What the MSSP PUF is</w:t>
      </w:r>
    </w:p>
    <w:p>
      <w:pPr>
        <w:spacing w:after="100" w:before="0"/>
        <w:jc w:val="left"/>
      </w:pPr>
      <w:r>
        <w:rPr>
          <w:rFonts w:ascii="Arial" w:cs="Arial" w:eastAsia="Arial" w:hAnsi="Arial"/>
          <w:b w:val="false"/>
          <w:bCs w:val="false"/>
          <w:i w:val="false"/>
          <w:iCs w:val="false"/>
          <w:color w:val="1F2937"/>
          <w:sz w:val="19"/>
          <w:szCs w:val="19"/>
        </w:rPr>
        <w:t xml:space="preserve">The CMS Medicare Shared Savings Program County-Level Aggregate Expenditure and Risk Score Public Use File is a free, annually-updated dataset published on data.cms.gov. It contains county-level aggregate expenditure, risk scores, and beneficiary counts for Original Medicare beneficiaries assignable to ACOs, organized by enrollment type, performance year, and open claims data cut. It is not a claims file — it is a pre-aggregated analytical product derived from CMS's full claims and risk adjustment infrastructure. It reflects actual CMS risk adjustment calculations run on the real Medicare population, incorporating all RAF components including demographic adjustments, dual eligibility status, and entitlement reason codes that are not publicly available at the beneficiary level.</w:t>
      </w:r>
    </w:p>
    <w:p>
      <w:pPr>
        <w:spacing w:after="80" w:before="80"/>
      </w:pPr>
    </w:p>
    <w:p>
      <w:pPr>
        <w:pStyle w:val="Heading2"/>
        <w:spacing w:after="100" w:before="260"/>
      </w:pPr>
      <w:r>
        <w:rPr>
          <w:rFonts w:ascii="Arial" w:cs="Arial" w:eastAsia="Arial" w:hAnsi="Arial"/>
          <w:b/>
          <w:bCs/>
          <w:color w:val="534AB7"/>
          <w:sz w:val="28"/>
          <w:szCs w:val="28"/>
        </w:rPr>
        <w:t xml:space="preserve">1.2  Primary entities and target hiring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400"/>
        <w:gridCol w:w="2960"/>
      </w:tblGrid>
      <w:tr>
        <w:tc>
          <w:tcPr>
            <w:tcW w:type="dxa" w:w="200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Entity</w:t>
            </w:r>
          </w:p>
        </w:tc>
        <w:tc>
          <w:tcPr>
            <w:tcW w:type="dxa" w:w="300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How they use this data</w:t>
            </w:r>
          </w:p>
        </w:tc>
        <w:tc>
          <w:tcPr>
            <w:tcW w:type="dxa" w:w="140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Relevant module</w:t>
            </w:r>
          </w:p>
        </w:tc>
        <w:tc>
          <w:tcPr>
            <w:tcW w:type="dxa" w:w="296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Target roles</w:t>
            </w:r>
          </w:p>
        </w:tc>
      </w:tr>
      <w:tr>
        <w:tc>
          <w:tcPr>
            <w:tcW w:type="dxa" w:w="20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ACO operators (Aledade, Privia, Oak Street)</w:t>
            </w:r>
          </w:p>
        </w:tc>
        <w:tc>
          <w:tcPr>
            <w:tcW w:type="dxa" w:w="30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Benchmark construction, expenditure efficiency monitoring, shared savings forecasting</w:t>
            </w:r>
          </w:p>
        </w:tc>
        <w:tc>
          <w:tcPr>
            <w:tcW w:type="dxa" w:w="1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B — Shared savings</w:t>
            </w:r>
          </w:p>
        </w:tc>
        <w:tc>
          <w:tcPr>
            <w:tcW w:type="dxa" w:w="29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VBC analyst, population health analyst, ACO operations analyst</w:t>
            </w:r>
          </w:p>
        </w:tc>
      </w:tr>
      <w:tr>
        <w:tc>
          <w:tcPr>
            <w:tcW w:type="dxa" w:w="20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Medicare Advantage plans / MA analytics teams</w:t>
            </w:r>
          </w:p>
        </w:tc>
        <w:tc>
          <w:tcPr>
            <w:tcW w:type="dxa" w:w="30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RADV risk exposure monitoring, HCC risk score benchmarking, county-level risk variance</w:t>
            </w:r>
          </w:p>
        </w:tc>
        <w:tc>
          <w:tcPr>
            <w:tcW w:type="dxa" w:w="14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A — HCC risk flags</w:t>
            </w:r>
          </w:p>
        </w:tc>
        <w:tc>
          <w:tcPr>
            <w:tcW w:type="dxa" w:w="29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Risk adjustment analyst, payment integrity analyst, RADV analyst</w:t>
            </w:r>
          </w:p>
        </w:tc>
      </w:tr>
      <w:tr>
        <w:tc>
          <w:tcPr>
            <w:tcW w:type="dxa" w:w="20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State Medicaid agencies + regional MCOs (SFHP, Molina CA, L.A. Care, CalOptima)</w:t>
            </w:r>
          </w:p>
        </w:tc>
        <w:tc>
          <w:tcPr>
            <w:tcW w:type="dxa" w:w="30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Population expenditure characterization, enrollment-type stratification, pilot program monitoring</w:t>
            </w:r>
          </w:p>
        </w:tc>
        <w:tc>
          <w:tcPr>
            <w:tcW w:type="dxa" w:w="1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 — PA metrics (contextual)</w:t>
            </w:r>
          </w:p>
        </w:tc>
        <w:tc>
          <w:tcPr>
            <w:tcW w:type="dxa" w:w="29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Compliance reporting analyst, utilization management analyst</w:t>
            </w:r>
          </w:p>
        </w:tc>
      </w:tr>
      <w:tr>
        <w:tc>
          <w:tcPr>
            <w:tcW w:type="dxa" w:w="20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CMS consulting firms (Guidehouse, Wakely, RTI, Mathematica)</w:t>
            </w:r>
          </w:p>
        </w:tc>
        <w:tc>
          <w:tcPr>
            <w:tcW w:type="dxa" w:w="30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CMMI model evaluation, regional benchmark construction, DiD research design</w:t>
            </w:r>
          </w:p>
        </w:tc>
        <w:tc>
          <w:tcPr>
            <w:tcW w:type="dxa" w:w="14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All 3 modules</w:t>
            </w:r>
          </w:p>
        </w:tc>
        <w:tc>
          <w:tcPr>
            <w:tcW w:type="dxa" w:w="29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Healthcare data analyst, health economist, policy research analyst</w:t>
            </w:r>
          </w:p>
        </w:tc>
      </w:tr>
      <w:tr>
        <w:tc>
          <w:tcPr>
            <w:tcW w:type="dxa" w:w="20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Health IT vendors &amp; analytics platforms (Arcadia, Inovalon)</w:t>
            </w:r>
          </w:p>
        </w:tc>
        <w:tc>
          <w:tcPr>
            <w:tcW w:type="dxa" w:w="30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Pipeline design, expenditure efficiency analytics, VBC model support</w:t>
            </w:r>
          </w:p>
        </w:tc>
        <w:tc>
          <w:tcPr>
            <w:tcW w:type="dxa" w:w="1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A + B</w:t>
            </w:r>
          </w:p>
        </w:tc>
        <w:tc>
          <w:tcPr>
            <w:tcW w:type="dxa" w:w="29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BI analyst, healthcare data engineer, analytics engineer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1FAE5" w:val="clear"/>
            <w:tcMar>
              <w:top w:type="dxa" w:w="80"/>
              <w:left w:type="dxa" w:w="80"/>
              <w:bottom w:type="dxa" w:w="80"/>
              <w:right w:type="dxa" w:w="80"/>
            </w:tcMar>
          </w:tcPr>
          <w:p/>
        </w:tc>
        <w:tc>
          <w:tcPr>
            <w:tcW w:type="dxa" w:w="9200"/>
            <w:tcBorders>
              <w:top w:val="none" w:color="FFFFFF" w:sz="0"/>
              <w:left w:val="single" w:color="0F6E56" w:sz="12"/>
              <w:bottom w:val="none" w:color="FFFFFF" w:sz="0"/>
              <w:right w:val="none" w:color="FFFFFF" w:sz="0"/>
            </w:tcBorders>
            <w:shd w:fill="ECFDF5" w:val="clear"/>
            <w:tcMar>
              <w:top w:type="dxa" w:w="80"/>
              <w:left w:type="dxa" w:w="140"/>
              <w:bottom w:type="dxa" w:w="80"/>
              <w:right w:type="dxa" w:w="120"/>
            </w:tcMar>
          </w:tcPr>
          <w:p>
            <w:pPr>
              <w:spacing w:after="40" w:before="0"/>
            </w:pPr>
            <w:r>
              <w:rPr>
                <w:rFonts w:ascii="Arial" w:cs="Arial" w:eastAsia="Arial" w:hAnsi="Arial"/>
                <w:b/>
                <w:bCs/>
                <w:i w:val="false"/>
                <w:iCs w:val="false"/>
                <w:color w:val="0F6E56"/>
                <w:sz w:val="17"/>
                <w:szCs w:val="17"/>
              </w:rPr>
              <w:t xml:space="preserve">Why the MSSP PUF specifically</w:t>
            </w:r>
          </w:p>
          <w:p>
            <w:pPr>
              <w:spacing w:after="0" w:before="0"/>
            </w:pPr>
            <w:r>
              <w:rPr>
                <w:rFonts w:ascii="Arial" w:cs="Arial" w:eastAsia="Arial" w:hAnsi="Arial"/>
                <w:b w:val="false"/>
                <w:bCs w:val="false"/>
                <w:i w:val="false"/>
                <w:iCs w:val="false"/>
                <w:color w:val="1F2937"/>
                <w:sz w:val="18"/>
                <w:szCs w:val="18"/>
              </w:rPr>
              <w:t xml:space="preserve">The MSSP PUF provides county-level risk-adjusted expenditure data reflecting actual CMS payment calculations. Unlike synthetic Medicare claims (8,671 simulated beneficiaries with no geographic epidemiological grounding) or beneficiary-level RIF data (requires ResDAC DUA), the PUF offers real population-level patterns, ground truth linkage to the CMS PY Financial Results PUF, and the four-dimensional county × enrollment type × performance year × OC cut structure that makes all three analytical modules possible at policy-relevant geographic resolution. The FHIR interoperability layer has been separated into a standalone project — fhir-cms-interop-toolkit — where it can be demonstrated against the Blue Button 2.0 sandbox with full technical depth.</w:t>
            </w:r>
          </w:p>
        </w:tc>
      </w:tr>
    </w:tbl>
    <w:p>
      <w:pPr>
        <w:spacing w:after="100" w:before="100"/>
      </w:pPr>
    </w:p>
    <w:p>
      <w:pPr>
        <w:pStyle w:val="Heading2"/>
        <w:spacing w:after="100" w:before="260"/>
      </w:pPr>
      <w:r>
        <w:rPr>
          <w:rFonts w:ascii="Arial" w:cs="Arial" w:eastAsia="Arial" w:hAnsi="Arial"/>
          <w:b/>
          <w:bCs/>
          <w:color w:val="534AB7"/>
          <w:sz w:val="28"/>
          <w:szCs w:val="28"/>
        </w:rPr>
        <w:t xml:space="preserve">1.3  Key policy concepts embedded in the dataset</w:t>
      </w:r>
    </w:p>
    <w:p>
      <w:pPr>
        <w:pStyle w:val="Heading3"/>
        <w:spacing w:after="70" w:before="180"/>
      </w:pPr>
      <w:r>
        <w:rPr>
          <w:rFonts w:ascii="Arial" w:cs="Arial" w:eastAsia="Arial" w:hAnsi="Arial"/>
          <w:b/>
          <w:bCs/>
          <w:color w:val="0F6E56"/>
          <w:sz w:val="22"/>
          <w:szCs w:val="22"/>
        </w:rPr>
        <w:t xml:space="preserve">CMS-HCC V24/V28 transition — fully operational CY2026</w:t>
      </w:r>
    </w:p>
    <w:p>
      <w:pPr>
        <w:spacing w:after="100" w:before="0"/>
        <w:jc w:val="left"/>
      </w:pPr>
      <w:r>
        <w:rPr>
          <w:rFonts w:ascii="Arial" w:cs="Arial" w:eastAsia="Arial" w:hAnsi="Arial"/>
          <w:b w:val="false"/>
          <w:bCs w:val="false"/>
          <w:i w:val="false"/>
          <w:iCs w:val="false"/>
          <w:color w:val="1F2937"/>
          <w:sz w:val="19"/>
          <w:szCs w:val="19"/>
        </w:rPr>
        <w:t xml:space="preserve">V28 replaced V24 entirely as of January 1, 2026 — 100% V28 for payment year 2026. V28 reduced valid ICD-10 codes from 9,797 to 7,770, expanded HCC categories from 86 to 115, and projected a 3.12% average risk score reduction. The MSSP PUF risk score columns reflect the blend in effect for each performance year: 33% V28 / 67% V24 for PY2023, 67% V28 / 33% V24 for PY2024, 100% V28 for PY2025+. CMS does NOT retroactively recalculate benchmark year risk scores under model changes, creating a methodology version skew between benchmark and performance years.</w:t>
      </w:r>
    </w:p>
    <w:p>
      <w:pPr>
        <w:spacing w:after="60" w:before="60"/>
      </w:pPr>
    </w:p>
    <w:p>
      <w:pPr>
        <w:pStyle w:val="Heading3"/>
        <w:spacing w:after="70" w:before="180"/>
      </w:pPr>
      <w:r>
        <w:rPr>
          <w:rFonts w:ascii="Arial" w:cs="Arial" w:eastAsia="Arial" w:hAnsi="Arial"/>
          <w:b/>
          <w:bCs/>
          <w:color w:val="0F6E56"/>
          <w:sz w:val="22"/>
          <w:szCs w:val="22"/>
        </w:rPr>
        <w:t xml:space="preserve">Enrollment type segmentation</w:t>
      </w:r>
    </w:p>
    <w:p>
      <w:pPr>
        <w:spacing w:after="100" w:before="0"/>
        <w:jc w:val="left"/>
      </w:pPr>
      <w:r>
        <w:rPr>
          <w:rFonts w:ascii="Arial" w:cs="Arial" w:eastAsia="Arial" w:hAnsi="Arial"/>
          <w:b w:val="false"/>
          <w:bCs w:val="false"/>
          <w:i w:val="false"/>
          <w:iCs w:val="false"/>
          <w:color w:val="1F2937"/>
          <w:sz w:val="19"/>
          <w:szCs w:val="19"/>
        </w:rPr>
        <w:t xml:space="preserve">The PUF separates four enrollment types: ESRD, Disabled, Aged Dual-Eligible, and Aged Non-Dual. ESRD beneficiaries cluster in HCC 134 (Dialysis), 136 (Renal Failure), 137 (CKD Stage 5), 138 (CKD Stage 4) — V28 rewards CKD specificity, creating a favorable delta for counties with complete ESRD coding. Disabled clusters in mental health and musculoskeletal HCCs, both downweighted in V28. Aged Non-Dual is most heterogeneous; vascular disease and metabolic HCC removals under V28 compress scores. Aged Non-Dual and Aged Dual have the largest N and most stable estimates; ESRD and Disabled should be treated as supplementary strata or regional aggregates.</w:t>
      </w:r>
    </w:p>
    <w:p>
      <w:pPr>
        <w:spacing w:after="60" w:before="60"/>
      </w:pPr>
    </w:p>
    <w:p>
      <w:pPr>
        <w:pStyle w:val="Heading3"/>
        <w:spacing w:after="70" w:before="180"/>
      </w:pPr>
      <w:r>
        <w:rPr>
          <w:rFonts w:ascii="Arial" w:cs="Arial" w:eastAsia="Arial" w:hAnsi="Arial"/>
          <w:b/>
          <w:bCs/>
          <w:color w:val="0F6E56"/>
          <w:sz w:val="22"/>
          <w:szCs w:val="22"/>
        </w:rPr>
        <w:t xml:space="preserve">Open Claims (OC) cuts vs. final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600"/>
        <w:gridCol w:w="3860"/>
      </w:tblGrid>
      <w:tr>
        <w:tc>
          <w:tcPr>
            <w:tcW w:type="dxa" w:w="150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Data cut</w:t>
            </w:r>
          </w:p>
        </w:tc>
        <w:tc>
          <w:tcPr>
            <w:tcW w:type="dxa" w:w="240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Claims extraction</w:t>
            </w:r>
          </w:p>
        </w:tc>
        <w:tc>
          <w:tcPr>
            <w:tcW w:type="dxa" w:w="160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Lag from service</w:t>
            </w:r>
          </w:p>
        </w:tc>
        <w:tc>
          <w:tcPr>
            <w:tcW w:type="dxa" w:w="386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Best use case</w:t>
            </w:r>
          </w:p>
        </w:tc>
      </w:tr>
      <w:tr>
        <w:tc>
          <w:tcPr>
            <w:tcW w:type="dxa" w:w="15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2024 OC1</w:t>
            </w:r>
          </w:p>
        </w:tc>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~3–6 months post-Jan 2024</w:t>
            </w:r>
          </w:p>
        </w:tc>
        <w:tc>
          <w:tcPr>
            <w:tcW w:type="dxa" w:w="16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~6–9 months</w:t>
            </w:r>
          </w:p>
        </w:tc>
        <w:tc>
          <w:tcPr>
            <w:tcW w:type="dxa" w:w="38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Early ACO application benchmarking</w:t>
            </w:r>
          </w:p>
        </w:tc>
      </w:tr>
      <w:tr>
        <w:tc>
          <w:tcPr>
            <w:tcW w:type="dxa" w:w="15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2024 OC2</w:t>
            </w:r>
          </w:p>
        </w:tc>
        <w:tc>
          <w:tcPr>
            <w:tcW w:type="dxa" w:w="24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~6–9 months post-Jan 2024</w:t>
            </w:r>
          </w:p>
        </w:tc>
        <w:tc>
          <w:tcPr>
            <w:tcW w:type="dxa" w:w="16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~9–12 months</w:t>
            </w:r>
          </w:p>
        </w:tc>
        <w:tc>
          <w:tcPr>
            <w:tcW w:type="dxa" w:w="38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Mid-year prospective operations</w:t>
            </w:r>
          </w:p>
        </w:tc>
      </w:tr>
      <w:tr>
        <w:tc>
          <w:tcPr>
            <w:tcW w:type="dxa" w:w="15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2024 OC3</w:t>
            </w:r>
          </w:p>
        </w:tc>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~9–12 months post-Jan 2024</w:t>
            </w:r>
          </w:p>
        </w:tc>
        <w:tc>
          <w:tcPr>
            <w:tcW w:type="dxa" w:w="16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~12–15 months</w:t>
            </w:r>
          </w:p>
        </w:tc>
        <w:tc>
          <w:tcPr>
            <w:tcW w:type="dxa" w:w="38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Pre-final reconciliation; near-final HCC</w:t>
            </w:r>
          </w:p>
        </w:tc>
      </w:tr>
      <w:tr>
        <w:tc>
          <w:tcPr>
            <w:tcW w:type="dxa" w:w="15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2024 (final)</w:t>
            </w:r>
          </w:p>
        </w:tc>
        <w:tc>
          <w:tcPr>
            <w:tcW w:type="dxa" w:w="24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12+ months post-Dec 2024</w:t>
            </w:r>
          </w:p>
        </w:tc>
        <w:tc>
          <w:tcPr>
            <w:tcW w:type="dxa" w:w="16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~18–24 months</w:t>
            </w:r>
          </w:p>
        </w:tc>
        <w:tc>
          <w:tcPr>
            <w:tcW w:type="dxa" w:w="38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Final benchmark calc; fully settled claims</w:t>
            </w:r>
          </w:p>
        </w:tc>
      </w:tr>
    </w:tbl>
    <w:p>
      <w:pPr>
        <w:spacing w:after="60" w:before="60"/>
      </w:pPr>
    </w:p>
    <w:p>
      <w:pPr>
        <w:pStyle w:val="Heading3"/>
        <w:spacing w:after="70" w:before="180"/>
      </w:pPr>
      <w:r>
        <w:rPr>
          <w:rFonts w:ascii="Arial" w:cs="Arial" w:eastAsia="Arial" w:hAnsi="Arial"/>
          <w:b/>
          <w:bCs/>
          <w:color w:val="0F6E56"/>
          <w:sz w:val="22"/>
          <w:szCs w:val="22"/>
        </w:rPr>
        <w:t xml:space="preserve">Active pilot program confounds — flag before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860"/>
        <w:gridCol w:w="3400"/>
      </w:tblGrid>
      <w:tr>
        <w:tc>
          <w:tcPr>
            <w:tcW w:type="dxa" w:w="140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Program</w:t>
            </w:r>
          </w:p>
        </w:tc>
        <w:tc>
          <w:tcPr>
            <w:tcW w:type="dxa" w:w="170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Geography</w:t>
            </w:r>
          </w:p>
        </w:tc>
        <w:tc>
          <w:tcPr>
            <w:tcW w:type="dxa" w:w="286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Impact on county data</w:t>
            </w:r>
          </w:p>
        </w:tc>
        <w:tc>
          <w:tcPr>
            <w:tcW w:type="dxa" w:w="340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Analytical treatment</w:t>
            </w:r>
          </w:p>
        </w:tc>
      </w:tr>
      <w:tr>
        <w:tc>
          <w:tcPr>
            <w:tcW w:type="dxa" w:w="1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AHEAD Model</w:t>
            </w:r>
          </w:p>
        </w:tc>
        <w:tc>
          <w:tcPr>
            <w:tcW w:type="dxa" w:w="17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MD, CT, HI, VT, RI + select NY counties</w:t>
            </w:r>
          </w:p>
        </w:tc>
        <w:tc>
          <w:tcPr>
            <w:tcW w:type="dxa" w:w="28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Total-population accountability — all OM beneficiaries attributed</w:t>
            </w:r>
          </w:p>
        </w:tc>
        <w:tc>
          <w:tcPr>
            <w:tcW w:type="dxa" w:w="3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Flag as stratum; do not mix with standard ACO counties</w:t>
            </w:r>
          </w:p>
        </w:tc>
      </w:tr>
      <w:tr>
        <w:tc>
          <w:tcPr>
            <w:tcW w:type="dxa" w:w="14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TEAM (mandatory)</w:t>
            </w:r>
          </w:p>
        </w:tc>
        <w:tc>
          <w:tcPr>
            <w:tcW w:type="dxa" w:w="17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~25% of US CBSAs randomly selected</w:t>
            </w:r>
          </w:p>
        </w:tc>
        <w:tc>
          <w:tcPr>
            <w:tcW w:type="dxa" w:w="28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Inpatient per capita spend compresses from bundled payment design</w:t>
            </w:r>
          </w:p>
        </w:tc>
        <w:tc>
          <w:tcPr>
            <w:tcW w:type="dxa" w:w="34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DiD treatment group; TEAM vs. non-TEAM counties — add TEAM_county flag to composite</w:t>
            </w:r>
          </w:p>
        </w:tc>
      </w:tr>
      <w:tr>
        <w:tc>
          <w:tcPr>
            <w:tcW w:type="dxa" w:w="1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WISeR Model</w:t>
            </w:r>
          </w:p>
        </w:tc>
        <w:tc>
          <w:tcPr>
            <w:tcW w:type="dxa" w:w="17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AZ, NJ, OH, OK, TX, WA</w:t>
            </w:r>
          </w:p>
        </w:tc>
        <w:tc>
          <w:tcPr>
            <w:tcW w:type="dxa" w:w="28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Claim volume compression from AI utilization reduction — regulatory, not organic</w:t>
            </w:r>
          </w:p>
        </w:tc>
        <w:tc>
          <w:tcPr>
            <w:tcW w:type="dxa" w:w="3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Flag as stratum; apply sensitivity analysis</w:t>
            </w:r>
          </w:p>
        </w:tc>
      </w:tr>
      <w:tr>
        <w:tc>
          <w:tcPr>
            <w:tcW w:type="dxa" w:w="14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ACO REACH (ends 2026)</w:t>
            </w:r>
          </w:p>
        </w:tc>
        <w:tc>
          <w:tcPr>
            <w:tcW w:type="dxa" w:w="17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National full-risk ACOs</w:t>
            </w:r>
          </w:p>
        </w:tc>
        <w:tc>
          <w:tcPr>
            <w:tcW w:type="dxa" w:w="28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Expenditure/risk discontinuity post-2026; coding intensity will deflate</w:t>
            </w:r>
          </w:p>
        </w:tc>
        <w:tc>
          <w:tcPr>
            <w:tcW w:type="dxa" w:w="34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Separate cohort; segment by agreement period</w:t>
            </w:r>
          </w:p>
        </w:tc>
      </w:tr>
      <w:tr>
        <w:tc>
          <w:tcPr>
            <w:tcW w:type="dxa" w:w="1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ESRD Tx Choices (terminated 2025)</w:t>
            </w:r>
          </w:p>
        </w:tc>
        <w:tc>
          <w:tcPr>
            <w:tcW w:type="dxa" w:w="17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National</w:t>
            </w:r>
          </w:p>
        </w:tc>
        <w:tc>
          <w:tcPr>
            <w:tcW w:type="dxa" w:w="28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ESRD per capita spend reverts to pre-model patterns — inflection in 2026 data</w:t>
            </w:r>
          </w:p>
        </w:tc>
        <w:tc>
          <w:tcPr>
            <w:tcW w:type="dxa" w:w="3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Pre/post breakpoint; exclude from trend comparisons</w:t>
            </w:r>
          </w:p>
        </w:tc>
      </w:tr>
    </w:tbl>
    <w:p>
      <w:pPr>
        <w:spacing w:after="200" w:before="200"/>
      </w:pPr>
    </w:p>
    <w:p>
      <w:pPr>
        <w:pBdr>
          <w:bottom w:val="single" w:color="D1D5DB" w:sz="4" w:space="1"/>
        </w:pBdr>
        <w:spacing w:after="180" w:before="180"/>
      </w:pPr>
    </w:p>
    <w:p>
      <w:pPr>
        <w:pStyle w:val="Heading1"/>
        <w:spacing w:after="140" w:before="320"/>
      </w:pPr>
      <w:r>
        <w:rPr>
          <w:rFonts w:ascii="Arial" w:cs="Arial" w:eastAsia="Arial" w:hAnsi="Arial"/>
          <w:b/>
          <w:bCs/>
          <w:color w:val="1F2937"/>
          <w:sz w:val="36"/>
          <w:szCs w:val="36"/>
        </w:rPr>
        <w:t xml:space="preserve">02  Pipeline status — 6 bugs identified &amp; fixes applied</w:t>
      </w:r>
    </w:p>
    <w:p>
      <w:pPr>
        <w:spacing w:after="100" w:before="0"/>
        <w:jc w:val="left"/>
      </w:pPr>
      <w:r>
        <w:rPr>
          <w:rFonts w:ascii="Arial" w:cs="Arial" w:eastAsia="Arial" w:hAnsi="Arial"/>
          <w:b w:val="false"/>
          <w:bCs w:val="false"/>
          <w:i/>
          <w:iCs/>
          <w:color w:val="6B7280"/>
          <w:sz w:val="18"/>
          <w:szCs w:val="18"/>
        </w:rPr>
        <w:t xml:space="preserve">All 6 bugs must be merged to main before adding any analytical module. The dedup bugs corrupt all downstream risk score and expenditure calculations.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800"/>
        <w:gridCol w:w="3860"/>
      </w:tblGrid>
      <w:tr>
        <w:tc>
          <w:tcPr>
            <w:tcW w:type="dxa" w:w="320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Bug</w:t>
            </w:r>
          </w:p>
        </w:tc>
        <w:tc>
          <w:tcPr>
            <w:tcW w:type="dxa" w:w="150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File(s)</w:t>
            </w:r>
          </w:p>
        </w:tc>
        <w:tc>
          <w:tcPr>
            <w:tcW w:type="dxa" w:w="80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Risk</w:t>
            </w:r>
          </w:p>
        </w:tc>
        <w:tc>
          <w:tcPr>
            <w:tcW w:type="dxa" w:w="386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Fix applied</w:t>
            </w:r>
          </w:p>
        </w:tc>
      </w:tr>
      <w:tr>
        <w:tc>
          <w:tcPr>
            <w:tcW w:type="dxa" w:w="32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Observation count inflation — pre-dedup count logged in api_call_report.csv; 7c34-eaqd returned 27 obs vs. 25 expected</w:t>
            </w:r>
          </w:p>
        </w:tc>
        <w:tc>
          <w:tcPr>
            <w:tcW w:type="dxa" w:w="15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client.py, cli.py, reporting.py</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High</w:t>
            </w:r>
          </w:p>
        </w:tc>
        <w:tc>
          <w:tcPr>
            <w:tcW w:type="dxa" w:w="38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Add raw_observations field; log post-dedup count; add rows_dropped column</w:t>
            </w:r>
          </w:p>
        </w:tc>
      </w:tr>
      <w:tr>
        <w:tc>
          <w:tcPr>
            <w:tcW w:type="dxa" w:w="32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Near-duplicate silent data loss — keep='first' drops rows with same key but different expenditure values, no warning</w:t>
            </w:r>
          </w:p>
        </w:tc>
        <w:tc>
          <w:tcPr>
            <w:tcW w:type="dxa" w:w="15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cleaning.py</w:t>
            </w:r>
          </w:p>
        </w:tc>
        <w:tc>
          <w:tcPr>
            <w:tcW w:type="dxa" w:w="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High</w:t>
            </w:r>
          </w:p>
        </w:tc>
        <w:tc>
          <w:tcPr>
            <w:tcW w:type="dxa" w:w="38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Group by dedup subset; flag conflicts; emit RuntimeWarning; write QA/dedup_conflicts.csv</w:t>
            </w:r>
          </w:p>
        </w:tc>
      </w:tr>
      <w:tr>
        <w:tc>
          <w:tcPr>
            <w:tcW w:type="dxa" w:w="32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YEAR dtype mismatch — int 2023 != str '2023'; dedup misses duplicates if YEAR cast at any pipeline step</w:t>
            </w:r>
          </w:p>
        </w:tc>
        <w:tc>
          <w:tcPr>
            <w:tcW w:type="dxa" w:w="15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cleaning.py</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High</w:t>
            </w:r>
          </w:p>
        </w:tc>
        <w:tc>
          <w:tcPr>
            <w:tcW w:type="dxa" w:w="38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Cast YEAR to str via astype(str) before drop_duplicates; add dtype test</w:t>
            </w:r>
          </w:p>
        </w:tc>
      </w:tr>
      <w:tr>
        <w:tc>
          <w:tcPr>
            <w:tcW w:type="dxa" w:w="32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Redundant dedup key columns — STATE_NAME + COUNTY_NAME fragile to whitespace/case; SSA ID pair is sufficient</w:t>
            </w:r>
          </w:p>
        </w:tc>
        <w:tc>
          <w:tcPr>
            <w:tcW w:type="dxa" w:w="15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cleaning.py</w:t>
            </w:r>
          </w:p>
        </w:tc>
        <w:tc>
          <w:tcPr>
            <w:tcW w:type="dxa" w:w="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Medium</w:t>
            </w:r>
          </w:p>
        </w:tc>
        <w:tc>
          <w:tcPr>
            <w:tcW w:type="dxa" w:w="38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Remove STATE_NAME, COUNTY_NAME from _DEDUP_COLUMNS; use YEAR, STATE_ID, COUNTY_ID only</w:t>
            </w:r>
          </w:p>
        </w:tc>
      </w:tr>
      <w:tr>
        <w:tc>
          <w:tcPr>
            <w:tcW w:type="dxa" w:w="32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dataset_id stamping dependency — missing dataset_id collapses cross-dataset rows silently</w:t>
            </w:r>
          </w:p>
        </w:tc>
        <w:tc>
          <w:tcPr>
            <w:tcW w:type="dxa" w:w="15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cli.py</w:t>
            </w:r>
          </w:p>
        </w:tc>
        <w:tc>
          <w:tcPr>
            <w:tcW w:type="dxa" w:w="8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High</w:t>
            </w:r>
          </w:p>
        </w:tc>
        <w:tc>
          <w:tcPr>
            <w:tcW w:type="dxa" w:w="38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Defensive check; raise RuntimeWarning and skip dedup if dataset_id absent</w:t>
            </w:r>
          </w:p>
        </w:tc>
      </w:tr>
      <w:tr>
        <w:tc>
          <w:tcPr>
            <w:tcW w:type="dxa" w:w="32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Conditional QA output — deduplicated_rows_removed.csv not always written even when drop_count &gt; 0</w:t>
            </w:r>
          </w:p>
        </w:tc>
        <w:tc>
          <w:tcPr>
            <w:tcW w:type="dxa" w:w="15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cli.py</w:t>
            </w:r>
          </w:p>
        </w:tc>
        <w:tc>
          <w:tcPr>
            <w:tcW w:type="dxa" w:w="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Medium</w:t>
            </w:r>
          </w:p>
        </w:tc>
        <w:tc>
          <w:tcPr>
            <w:tcW w:type="dxa" w:w="38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Always write to QA/ when output_dir provided; add header: total_input, total_output, rows_dropped</w:t>
            </w:r>
          </w:p>
        </w:tc>
      </w:tr>
    </w:tbl>
    <w:p>
      <w:pPr>
        <w:spacing w:after="200" w:before="200"/>
      </w:pPr>
    </w:p>
    <w:p>
      <w:pPr>
        <w:pBdr>
          <w:bottom w:val="single" w:color="D1D5DB" w:sz="4" w:space="1"/>
        </w:pBdr>
        <w:spacing w:after="180" w:before="180"/>
      </w:pPr>
    </w:p>
    <w:p>
      <w:pPr>
        <w:pStyle w:val="Heading1"/>
        <w:spacing w:after="140" w:before="320"/>
      </w:pPr>
      <w:r>
        <w:rPr>
          <w:rFonts w:ascii="Arial" w:cs="Arial" w:eastAsia="Arial" w:hAnsi="Arial"/>
          <w:b/>
          <w:bCs/>
          <w:color w:val="1F2937"/>
          <w:sz w:val="36"/>
          <w:szCs w:val="36"/>
        </w:rPr>
        <w:t xml:space="preserve">03  Analysis direction — revised focus &amp; core metric</w:t>
      </w:r>
    </w:p>
    <w:p>
      <w:pPr>
        <w:pStyle w:val="Heading2"/>
        <w:spacing w:after="100" w:before="260"/>
      </w:pPr>
      <w:r>
        <w:rPr>
          <w:rFonts w:ascii="Arial" w:cs="Arial" w:eastAsia="Arial" w:hAnsi="Arial"/>
          <w:b/>
          <w:bCs/>
          <w:color w:val="534AB7"/>
          <w:sz w:val="28"/>
          <w:szCs w:val="28"/>
        </w:rPr>
        <w:t xml:space="preserve">3.1  Shift from ACO ranking to expenditure characterization</w:t>
      </w:r>
    </w:p>
    <w:p>
      <w:pPr>
        <w:spacing w:after="100" w:before="0"/>
        <w:jc w:val="left"/>
      </w:pPr>
      <w:r>
        <w:rPr>
          <w:rFonts w:ascii="Arial" w:cs="Arial" w:eastAsia="Arial" w:hAnsi="Arial"/>
          <w:b w:val="false"/>
          <w:bCs w:val="false"/>
          <w:i w:val="false"/>
          <w:iCs w:val="false"/>
          <w:color w:val="1F2937"/>
          <w:sz w:val="19"/>
          <w:szCs w:val="19"/>
        </w:rPr>
        <w:t xml:space="preserve">The original intent — ranking ACOs as successful vs. struggling across all data cuts — carries methodological caveats that limit defensibility: V28 blend makes pre/post 2024 risk scores structurally incomparable; risk score cap methodology changed in 2024; pilot program participation (AHEAD, TEAM, WISeR) is an uncontrolled covariate. The revised focus moves to expenditure efficiency characterization, which is more stable under methodology changes because both numerator and denominator are affected by the same rule changes in the same direction.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E8E4FB" w:val="clear"/>
            <w:tcMar>
              <w:top w:type="dxa" w:w="80"/>
              <w:left w:type="dxa" w:w="80"/>
              <w:bottom w:type="dxa" w:w="80"/>
              <w:right w:type="dxa" w:w="80"/>
            </w:tcMar>
          </w:tcPr>
          <w:p/>
        </w:tc>
        <w:tc>
          <w:tcPr>
            <w:tcW w:type="dxa" w:w="9200"/>
            <w:tcBorders>
              <w:top w:val="none" w:color="FFFFFF" w:sz="0"/>
              <w:left w:val="single" w:color="534AB7" w:sz="12"/>
              <w:bottom w:val="none" w:color="FFFFFF" w:sz="0"/>
              <w:right w:val="none" w:color="FFFFFF" w:sz="0"/>
            </w:tcBorders>
            <w:shd w:fill="F5F4FE" w:val="clear"/>
            <w:tcMar>
              <w:top w:type="dxa" w:w="80"/>
              <w:left w:type="dxa" w:w="140"/>
              <w:bottom w:type="dxa" w:w="80"/>
              <w:right w:type="dxa" w:w="120"/>
            </w:tcMar>
          </w:tcPr>
          <w:p>
            <w:pPr>
              <w:spacing w:after="40" w:before="0"/>
            </w:pPr>
            <w:r>
              <w:rPr>
                <w:rFonts w:ascii="Arial" w:cs="Arial" w:eastAsia="Arial" w:hAnsi="Arial"/>
                <w:b/>
                <w:bCs/>
                <w:i w:val="false"/>
                <w:iCs w:val="false"/>
                <w:color w:val="534AB7"/>
                <w:sz w:val="17"/>
                <w:szCs w:val="17"/>
              </w:rPr>
              <w:t xml:space="preserve">Core metric — Expenditure Efficiency Ratio</w:t>
            </w:r>
          </w:p>
          <w:p>
            <w:pPr>
              <w:spacing w:after="0" w:before="0"/>
            </w:pPr>
            <w:r>
              <w:rPr>
                <w:rFonts w:ascii="Arial" w:cs="Arial" w:eastAsia="Arial" w:hAnsi="Arial"/>
                <w:b w:val="false"/>
                <w:bCs w:val="false"/>
                <w:i w:val="false"/>
                <w:iCs w:val="false"/>
                <w:color w:val="1F2937"/>
                <w:sz w:val="18"/>
                <w:szCs w:val="18"/>
              </w:rPr>
              <w:t xml:space="preserve">Expenditure Efficiency Ratio = PER_CAPITA_EXP / AVG_RISK_SCORE (per county, per year, per enrollment type). Weight by person_years column before aggregating. Compute separately for all four enrollment types. Declining ratio over time = genuine expenditure improvement harder to attribute to methodology change.</w:t>
            </w:r>
          </w:p>
        </w:tc>
      </w:tr>
    </w:tbl>
    <w:p>
      <w:pPr>
        <w:spacing w:after="80" w:before="80"/>
      </w:pPr>
    </w:p>
    <w:p>
      <w:pPr>
        <w:pStyle w:val="Heading2"/>
        <w:spacing w:after="100" w:before="260"/>
      </w:pPr>
      <w:r>
        <w:rPr>
          <w:rFonts w:ascii="Arial" w:cs="Arial" w:eastAsia="Arial" w:hAnsi="Arial"/>
          <w:b/>
          <w:bCs/>
          <w:color w:val="534AB7"/>
          <w:sz w:val="28"/>
          <w:szCs w:val="28"/>
        </w:rPr>
        <w:t xml:space="preserve">3.2  What a seasoned researcher would do differently</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Construct county relative cost index: risk-standardized county expenditure / risk-standardized national expenditure by enrollment type</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Weight county-level ratios by person_years — a county with 5 ESRD person-years has volatile estimates; one with 5,000 is stable. Unweighted means are dominated by small-N outliers</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Focus quantitative claims on Aged Non-Dual and Aged Dual (largest N); treat ESRD and Disabled as supplementary or regional aggregates</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Link to PY Financial &amp; Quality Results PUF — in counties where risk-adjusted expenditure exceeded national average, did ACOs still generate savings?</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Segment by agreement period start date — ACOs subject to 2024 new benchmarking averaged $143 net savings per capita vs. $241 for those not subject to it; naive YoY conflates methodology with performance</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Apply truncation sensitivity analysis — CMS truncates beneficiary expenditures at the 99th percentile; threshold varies by year and enrollment type</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Difference-in-differences using AHEAD/TEAM pilot rollout — plausible quasi-experimental comparison groups; potentially publishable</w:t>
      </w:r>
    </w:p>
    <w:p>
      <w:pPr>
        <w:spacing w:after="200" w:before="200"/>
      </w:pPr>
    </w:p>
    <w:p>
      <w:pPr>
        <w:pBdr>
          <w:bottom w:val="single" w:color="D1D5DB" w:sz="4" w:space="1"/>
        </w:pBdr>
        <w:spacing w:after="180" w:before="180"/>
      </w:pPr>
    </w:p>
    <w:p>
      <w:pPr>
        <w:pStyle w:val="Heading1"/>
        <w:spacing w:after="140" w:before="320"/>
      </w:pPr>
      <w:r>
        <w:rPr>
          <w:rFonts w:ascii="Arial" w:cs="Arial" w:eastAsia="Arial" w:hAnsi="Arial"/>
          <w:b/>
          <w:bCs/>
          <w:color w:val="1F2937"/>
          <w:sz w:val="36"/>
          <w:szCs w:val="36"/>
        </w:rPr>
        <w:t xml:space="preserve">04  Three analytical modules — full variable specs, source links &amp;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FEF3C7" w:val="clear"/>
            <w:tcMar>
              <w:top w:type="dxa" w:w="80"/>
              <w:left w:type="dxa" w:w="80"/>
              <w:bottom w:type="dxa" w:w="80"/>
              <w:right w:type="dxa" w:w="80"/>
            </w:tcMar>
          </w:tcPr>
          <w:p/>
        </w:tc>
        <w:tc>
          <w:tcPr>
            <w:tcW w:type="dxa" w:w="9200"/>
            <w:tcBorders>
              <w:top w:val="none" w:color="FFFFFF" w:sz="0"/>
              <w:left w:val="single" w:color="854F0B" w:sz="12"/>
              <w:bottom w:val="none" w:color="FFFFFF" w:sz="0"/>
              <w:right w:val="none" w:color="FFFFFF" w:sz="0"/>
            </w:tcBorders>
            <w:shd w:fill="FFFBEB" w:val="clear"/>
            <w:tcMar>
              <w:top w:type="dxa" w:w="80"/>
              <w:left w:type="dxa" w:w="140"/>
              <w:bottom w:type="dxa" w:w="80"/>
              <w:right w:type="dxa" w:w="120"/>
            </w:tcMar>
          </w:tcPr>
          <w:p>
            <w:pPr>
              <w:spacing w:after="40" w:before="0"/>
            </w:pPr>
            <w:r>
              <w:rPr>
                <w:rFonts w:ascii="Arial" w:cs="Arial" w:eastAsia="Arial" w:hAnsi="Arial"/>
                <w:b/>
                <w:bCs/>
                <w:i w:val="false"/>
                <w:iCs w:val="false"/>
                <w:color w:val="854F0B"/>
                <w:sz w:val="17"/>
                <w:szCs w:val="17"/>
              </w:rPr>
              <w:t xml:space="preserve">Build sequence</w:t>
            </w:r>
          </w:p>
          <w:p>
            <w:pPr>
              <w:spacing w:after="0" w:before="0"/>
            </w:pPr>
            <w:r>
              <w:rPr>
                <w:rFonts w:ascii="Arial" w:cs="Arial" w:eastAsia="Arial" w:hAnsi="Arial"/>
                <w:b w:val="false"/>
                <w:bCs w:val="false"/>
                <w:i w:val="false"/>
                <w:iCs w:val="false"/>
                <w:color w:val="1F2937"/>
                <w:sz w:val="18"/>
                <w:szCs w:val="18"/>
              </w:rPr>
              <w:t xml:space="preserve">Fix all 6 pipeline bugs first. Then: Module A (HCC risk flags) → Module B (shared savings reconciliation) → Module C (PA metrics simulation). Module A builds directly on the risk score columns. Module B extends the efficiency ratio with financial reconciliation logic. Module C is independent of A and B — build in parallel with B if desired.</w:t>
            </w:r>
          </w:p>
        </w:tc>
      </w:tr>
    </w:tbl>
    <w:p>
      <w:pPr>
        <w:spacing w:after="160" w:before="160"/>
      </w:pPr>
    </w:p>
    <w:p>
      <w:pPr>
        <w:pStyle w:val="Heading2"/>
        <w:spacing w:after="100" w:before="260"/>
      </w:pPr>
      <w:r>
        <w:rPr>
          <w:rFonts w:ascii="Arial" w:cs="Arial" w:eastAsia="Arial" w:hAnsi="Arial"/>
          <w:b/>
          <w:bCs/>
          <w:color w:val="534AB7"/>
          <w:sz w:val="28"/>
          <w:szCs w:val="28"/>
        </w:rPr>
        <w:t xml:space="preserve">Module A — HCC risk flag analysis  (Track 2: RADV / risk adjustment)</w:t>
      </w:r>
    </w:p>
    <w:p>
      <w:pPr>
        <w:spacing w:after="100" w:before="0"/>
        <w:jc w:val="left"/>
      </w:pPr>
      <w:r>
        <w:rPr>
          <w:rFonts w:ascii="Arial" w:cs="Arial" w:eastAsia="Arial" w:hAnsi="Arial"/>
          <w:b w:val="false"/>
          <w:bCs w:val="false"/>
          <w:i/>
          <w:iCs/>
          <w:color w:val="6B7280"/>
          <w:sz w:val="17"/>
          <w:szCs w:val="17"/>
        </w:rPr>
        <w:t xml:space="preserve">Path: modules/hcc_radv_risk_flags/</w:t>
      </w:r>
    </w:p>
    <w:p>
      <w:pPr>
        <w:spacing w:after="60" w:before="60"/>
      </w:pPr>
    </w:p>
    <w:p>
      <w:pPr>
        <w:spacing w:after="100" w:before="0"/>
        <w:jc w:val="left"/>
      </w:pPr>
      <w:r>
        <w:rPr>
          <w:rFonts w:ascii="Arial" w:cs="Arial" w:eastAsia="Arial" w:hAnsi="Arial"/>
          <w:b w:val="false"/>
          <w:bCs w:val="false"/>
          <w:i w:val="false"/>
          <w:iCs w:val="false"/>
          <w:color w:val="1F2937"/>
          <w:sz w:val="19"/>
          <w:szCs w:val="19"/>
        </w:rPr>
        <w:t xml:space="preserve">Applies RADV audit targeting logic to the MSSP PUF. The PUF risk score columns (by enrollment type and data cut) are the analytical input. This module reverse-engineers which HCC groupings drive risk score variance, flags counties with patterns consistent with RADV audit risk indicators, and produces a ranked risk exposure table. Highest hiring-impact module for MA plan analytics, payment integrity, and consulting roles.</w:t>
      </w:r>
    </w:p>
    <w:p>
      <w:pPr>
        <w:spacing w:after="80" w:before="80"/>
      </w:pPr>
    </w:p>
    <w:p>
      <w:pPr>
        <w:pStyle w:val="Heading3"/>
        <w:spacing w:after="70" w:before="180"/>
      </w:pPr>
      <w:r>
        <w:rPr>
          <w:rFonts w:ascii="Arial" w:cs="Arial" w:eastAsia="Arial" w:hAnsi="Arial"/>
          <w:b/>
          <w:bCs/>
          <w:color w:val="0F6E56"/>
          <w:sz w:val="22"/>
          <w:szCs w:val="22"/>
        </w:rPr>
        <w:t xml:space="preserve">A.1  What this module does in practice</w:t>
      </w:r>
    </w:p>
    <w:p>
      <w:pPr>
        <w:spacing w:after="100" w:before="0"/>
        <w:jc w:val="left"/>
      </w:pPr>
      <w:r>
        <w:rPr>
          <w:rFonts w:ascii="Arial" w:cs="Arial" w:eastAsia="Arial" w:hAnsi="Arial"/>
          <w:b w:val="false"/>
          <w:bCs w:val="false"/>
          <w:i w:val="false"/>
          <w:iCs w:val="false"/>
          <w:color w:val="1F2937"/>
          <w:sz w:val="19"/>
          <w:szCs w:val="19"/>
        </w:rPr>
        <w:t xml:space="preserve">The MSSP PUF does not contain individual HCC codes or ICD-10 diagnoses. It contains average risk scores at the county level by enrollment type and data cut. Module A works backward from those aggregate risk scores to approximate RADV-style audit risk indicators using three proxy signals: year-over-year risk score growth rate, expenditure-to-risk ratio divergence, and OC-cut stability (how much the risk score changes from OC1 to OC3 within the same performance year).</w:t>
      </w:r>
    </w:p>
    <w:p>
      <w:pPr>
        <w:spacing w:after="60" w:before="60"/>
      </w:pPr>
    </w:p>
    <w:p>
      <w:pPr>
        <w:spacing w:after="50" w:before="140"/>
      </w:pPr>
      <w:r>
        <w:rPr>
          <w:rFonts w:ascii="Arial" w:cs="Arial" w:eastAsia="Arial" w:hAnsi="Arial"/>
          <w:b/>
          <w:bCs/>
          <w:color w:val="854F0B"/>
          <w:sz w:val="20"/>
          <w:szCs w:val="20"/>
        </w:rPr>
        <w:t xml:space="preserve">HCC and ICD-10 mapping given PUF constraints</w:t>
      </w:r>
    </w:p>
    <w:p>
      <w:pPr>
        <w:spacing w:after="100" w:before="0"/>
        <w:jc w:val="left"/>
      </w:pPr>
      <w:r>
        <w:rPr>
          <w:rFonts w:ascii="Arial" w:cs="Arial" w:eastAsia="Arial" w:hAnsi="Arial"/>
          <w:b w:val="false"/>
          <w:bCs w:val="false"/>
          <w:i w:val="false"/>
          <w:iCs w:val="false"/>
          <w:color w:val="1F2937"/>
          <w:sz w:val="19"/>
          <w:szCs w:val="19"/>
        </w:rPr>
        <w:t xml:space="preserve">Because the PUF gives county-level averages rather than beneficiary-level diagnoses, hcc_mapper.py uses the CMS-HCC crosswalk to build a reference table, not to map actual patient diagnoses. The reference table answers: which ICD-10 codes map to each HCC grouping under V24 and V28, and what is the coefficient weight difference between the two versions for each HCC?</w:t>
      </w:r>
    </w:p>
    <w:p>
      <w:pPr>
        <w:spacing w:after="40" w:before="40"/>
      </w:pPr>
    </w:p>
    <w:p>
      <w:pPr>
        <w:spacing w:after="100" w:before="0"/>
        <w:jc w:val="left"/>
      </w:pPr>
      <w:r>
        <w:rPr>
          <w:rFonts w:ascii="Arial" w:cs="Arial" w:eastAsia="Arial" w:hAnsi="Arial"/>
          <w:b w:val="false"/>
          <w:bCs w:val="false"/>
          <w:i w:val="false"/>
          <w:iCs w:val="false"/>
          <w:color w:val="1F2937"/>
          <w:sz w:val="19"/>
          <w:szCs w:val="19"/>
        </w:rPr>
        <w:t xml:space="preserve">For ESRD enrollment type: beneficiaries have a distinct demographic coefficient and their conditions cluster in HCC 134 (Dialysis Status), HCC 136 (Renal Failure), HCC 137 (CKD Stage 5), HCC 138 (CKD Stage 4). Under V28, CKD Stage 4 and 5 have higher coefficients than under V24 — ESRD-heavy counties with complete and specific coding show a favorable V28 delta. Counties with ESRD beneficiaries coded at unspecified CKD severity show compression because V28 removed those unspecified codes.</w:t>
      </w:r>
    </w:p>
    <w:p>
      <w:pPr>
        <w:spacing w:after="40" w:before="40"/>
      </w:pPr>
    </w:p>
    <w:p>
      <w:pPr>
        <w:spacing w:after="100" w:before="0"/>
        <w:jc w:val="left"/>
      </w:pPr>
      <w:r>
        <w:rPr>
          <w:rFonts w:ascii="Arial" w:cs="Arial" w:eastAsia="Arial" w:hAnsi="Arial"/>
          <w:b w:val="false"/>
          <w:bCs w:val="false"/>
          <w:i w:val="false"/>
          <w:iCs w:val="false"/>
          <w:color w:val="1F2937"/>
          <w:sz w:val="19"/>
          <w:szCs w:val="19"/>
        </w:rPr>
        <w:t xml:space="preserve">For non-ESRD enrollment types: enrollment type is a demographic category, not a condition cluster. The correct proxy is the enrollment_type dominance ratio (share of county person_years in the highest-risk type) combined with YoY risk score behavior — not inferred HCC attribution from enrollment type alone. For Disabled: concentration in mental health and musculoskeletal HCCs, both downweighted in V28. For Aged Dual: diabetic HCC coefficients constrained in V28 (double-counting prevention). For Aged Non-Dual: vascular disease and metabolic HCC removals in V28 drive compression.</w:t>
      </w:r>
    </w:p>
    <w:p>
      <w:pPr>
        <w:spacing w:after="100" w:before="100"/>
      </w:pPr>
    </w:p>
    <w:p>
      <w:pPr>
        <w:pStyle w:val="Heading3"/>
        <w:spacing w:after="70" w:before="180"/>
      </w:pPr>
      <w:r>
        <w:rPr>
          <w:rFonts w:ascii="Arial" w:cs="Arial" w:eastAsia="Arial" w:hAnsi="Arial"/>
          <w:b/>
          <w:bCs/>
          <w:color w:val="0F6E56"/>
          <w:sz w:val="22"/>
          <w:szCs w:val="22"/>
        </w:rPr>
        <w:t xml:space="preserve">A.2  Files</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hcc_mapper.py — ICD-10 to HCC category mapping using CMS crosswalk; builds V24/V28 coefficient delta reference table</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risk_score_variance.py — YoY delta analysis, outlier detection, distribution statistics by enrollment type</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v28_exposure_index.py — V28 coding exposure index by county and enrollment type using CMS Announcement Tables VIII-1 and VI-1</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radv_proxy_flags.py — applies RADV-style risk criteria including composite score, OC stability flag, and confound flags</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hcc_risk_report.ipynb — ranked county output + scatter visualization + OC-cut stability line chart</w:t>
      </w:r>
    </w:p>
    <w:p>
      <w:pPr>
        <w:spacing w:after="80" w:before="80"/>
      </w:pPr>
    </w:p>
    <w:p>
      <w:pPr>
        <w:pStyle w:val="Heading3"/>
        <w:spacing w:after="70" w:before="180"/>
      </w:pPr>
      <w:r>
        <w:rPr>
          <w:rFonts w:ascii="Arial" w:cs="Arial" w:eastAsia="Arial" w:hAnsi="Arial"/>
          <w:b/>
          <w:bCs/>
          <w:color w:val="0F6E56"/>
          <w:sz w:val="22"/>
          <w:szCs w:val="22"/>
        </w:rPr>
        <w:t xml:space="preserve">A.3  Variable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8"/>
                <w:szCs w:val="18"/>
              </w:rPr>
              <w:t xml:space="preserve">Variable 1 — Risk score YoY delta  |  Veracity: High</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Formula</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 AVG_RISK_SCORE(yr N) − AVG_RISK_SCORE(yr N−1) ) / AVG_RISK_SCORE(yr N−1)</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Source type</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Derived — MSSP PUF columns only. No external file required. PUF field: avg_risk_score by enrollment type and data cut.</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Benchmark</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CMS national trend factor: 0–3% YoY growth for stable populations. Verified constant: 3% risk score growth cap (2024 onward per MSSP final rule).</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Source</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hyperlink w:history="1" r:id="rId8nsazysytbmcadjdazywu">
              <w:r>
                <w:rPr>
                  <w:rStyle w:val="Hyperlink"/>
                  <w:rFonts w:ascii="Arial" w:cs="Arial" w:eastAsia="Arial" w:hAnsi="Arial"/>
                  <w:sz w:val="17"/>
                  <w:szCs w:val="17"/>
                </w:rPr>
                <w:t xml:space="preserve">CMS MSSP Program — financial methodology</w:t>
              </w:r>
            </w:hyperlink>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Validation</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Flag counties where YoY delta exceeds mean + 2 SD. For ESRD enrollment type: apply enrollment-type-specific SD thresholds due to higher natural variance.</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RADV connection</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Rapid unexplained risk score growth is the primary RADV targeting signal. CMS's predicted improper payment algorithm ranks beneficiaries by circumstantial coding risk indicators — YoY growth is the county-level analog.</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8"/>
                <w:szCs w:val="18"/>
              </w:rPr>
              <w:t xml:space="preserve">Variable 2 — RADV risk flag composite  |  Veracity: Medium (rises to Medium-High after corrections)</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Formula</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Weighted score = (YoY delta × 0.4) + (Expenditure growth ratio × 0.4) + (V28 coding exposure index × 0.2)</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Weight source — CRITICAL</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Weights 0.4 / 0.4 / 0.2 are unvalidated working assumptions with no primary source. Structurally analogous to FICO score (0.35/0.30/0.15/0.10/0.10) and Altman Z-Score — both required discriminant analysis on historical outcomes before weights were published. Label in code and README as 'illustrative weights — pending empirical validation against RADV audit outcome data.' Include sensitivity analysis sweeping 0.5/0.3/0.2 and 0.33/0.33/0.33 combinations.</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Sub-variable: expenditure growth ratio</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 PER_CAPITA_EXP(yr N) − PER_CAPITA_EXP(yr N−1) ) / PER_CAPITA_EXP(yr N−1). Derived from PUF. Confounds: V28 methodology artifact (PY2024), TEAM bundled payment compression in TEAM CBSAs, ESRD enrollment share shift within county. All three must be disclosed.</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Sub-variable: V28 coding exposure index</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See Variable 3. Replaces original HCC concentration index which was not constructible from public data.</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Confound flags — required</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Apply before computing composite: (1) TEAM_county flag (binary, from IPPS Final Rule CBSA list); (2) V28_transition_year flag (binary, active PY2024); (3) enrollment_type_shift flag (binary, ESRD or Disabled share changed &gt;5pp YoY). When any flag active, mark composite 'confounded — interpret with caution' and exclude from primary ranking.</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Output type</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Continuous (0 to 1 after normalization). Binary High/Medium/Low flag applied as tertile cutoff at the reporting layer, not in the composite calculation.</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CMS RADV Checklist</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MEAT criteria (Monitor, Evaluate, Assess/Address, Treat) — auditors validate each HCC against clinical documentation. Composite flag identifies counties where the coding pattern is consistent with diagnoses that may not survive MEAT review. Source: </w:t>
            </w:r>
            <w:hyperlink w:history="1" r:id="rIdckaqmcz7icotaecyfmth0">
              <w:r>
                <w:rPr>
                  <w:rStyle w:val="Hyperlink"/>
                  <w:rFonts w:ascii="Arial" w:cs="Arial" w:eastAsia="Arial" w:hAnsi="Arial"/>
                  <w:sz w:val="17"/>
                  <w:szCs w:val="17"/>
                </w:rPr>
                <w:t xml:space="preserve">CMS RADV Checklist PDF</w:t>
              </w:r>
            </w:hyperlink>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Validation</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Top 10% by composite = high RADV risk flag. Cross-reference: do high-flag counties have lower shared savings rates in the CMS PY Financial Results PUF? That correlation validates the proxy logic.</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8"/>
                <w:szCs w:val="18"/>
              </w:rPr>
              <w:t xml:space="preserve">Variable 3 — V28 coding exposure index (revised from 'HCC concentration index')  |  Veracity: Medium</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REVISION NOTE</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Original variable (HCC concentration index) was not constructible from public PUF data. avg_risk_score cannot be decomposed into HCC contributions without beneficiary-level data. The cited CMS Part C Reporting Data URL was also incorrect — that page contains plan performance metrics, not HCC distribution data. This replacement variable is constructible from public sources.</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Formula</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For each enrollment type in a county: sum_i( HCC_prevalence_weight_i × (V24_coefficient_i − V28_coefficient_i) ) across all HCC groupings i where V28 coefficient &lt; V24 coefficient. Normalized by county avg_risk_score. Result = estimated percentage of risk score exposed to V28 compression for that enrollment type.</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Source type</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External constants from CMS Announcement Tables applied to PUF enrollment type mix. No ResDAC data required.</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Coefficient source</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CMS 2024 Announcement Table VIII-1 (V28 coefficients). CMS 2020 Announcement Table VI-1 (V24 baseline). The delta per HCC = V24_coeff minus V28_coeff = the exposure weight. Source: </w:t>
            </w:r>
            <w:hyperlink w:history="1" r:id="rIdnhrghp2uhytqsmbxjfh7r">
              <w:r>
                <w:rPr>
                  <w:rStyle w:val="Hyperlink"/>
                  <w:rFonts w:ascii="Arial" w:cs="Arial" w:eastAsia="Arial" w:hAnsi="Arial"/>
                  <w:sz w:val="17"/>
                  <w:szCs w:val="17"/>
                </w:rPr>
                <w:t xml:space="preserve">CMS Advance Notice Archive — Table VIII-1 (V28) and Table VI-1 (V24)</w:t>
              </w:r>
            </w:hyperlink>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V28 delta direction by enrollment type</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ESRD: positive delta (CKD Stage 4/5 specificity rewarded — net benefit if coding is complete). Disabled: negative delta (mental health HCCs downweighted). Aged Dual: negative delta (diabetic coefficient constraining). Aged Non-Dual: largest negative delta (vascular disease and metabolic HCC removals).</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Validation</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For ESRD counties: high V28 coding exposure index + high efficiency ratio = CKD specificity gap. For Aged Non-Dual: high exposure + high YoY delta = vascular/metabolic HCC compression risk.</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8"/>
                <w:szCs w:val="18"/>
              </w:rPr>
              <w:t xml:space="preserve">Variable 4 — Expenditure efficiency ratio (primary KPI)  |  Veracity: High</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Formula</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PER_CAPITA_EXP / AVG_RISK_SCORE — computed per county, per performance year, per enrollment type (4 types).</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Source type</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Derived entirely from MSSP PUF columns. No external file required. PUF fields: per_capita_exp and avg_risk_score, both by enrollment type.</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Weighting</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Weight county-level ratios by person_years column before aggregating. Unweighted means will be dominated by small-N outliers (counties with fewer than 100 person_years in ESRD or Disabled should be suppressed or flagged).</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Benchmark</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National average efficiency ratio by enrollment type — calculate from PUF national aggregate rows. Secondary benchmark: CMS-published county-level expenditure standardization methodology. Source: </w:t>
            </w:r>
            <w:hyperlink w:history="1" r:id="rIdarfvnw8n_5eai4h8ntt3p">
              <w:r>
                <w:rPr>
                  <w:rStyle w:val="Hyperlink"/>
                  <w:rFonts w:ascii="Arial" w:cs="Arial" w:eastAsia="Arial" w:hAnsi="Arial"/>
                  <w:sz w:val="17"/>
                  <w:szCs w:val="17"/>
                </w:rPr>
                <w:t xml:space="preserve">CMS MSSP Financial Methodology</w:t>
              </w:r>
            </w:hyperlink>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RADV connection</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Counties at mean +1 SD on efficiency ratio (high expenditure relative to risk score) represent potential overcoding — risk score is elevated but actual cost does not follow. This is the expenditure divergence signal RADV audits are designed to detect at the beneficiary level.</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8"/>
                <w:szCs w:val="18"/>
              </w:rPr>
              <w:t xml:space="preserve">Variable 5 — Single-source HCC proxy (OC stability)  |  Veracity: Medium-High</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Formula</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Flag counties where ( AVG_RISK_SCORE(OC3) − AVG_RISK_SCORE(OC1) ) / AVG_RISK_SCORE(OC1) &lt; 2% AND AVG_RISK_SCORE(OC3) &gt; 1 SD above national mean. Interpretation: risk score was already high at OC1 and did not change by OC3 — consistent with carry-forward or single-encounter coding.</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Source type</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Derived from multiple OC cuts within the PUF. Requires OC1 and OC3 data for the same performance year. PUF fields: avg_risk_score across OC1, OC2, OC3, and final cut columns.</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RADV connection</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CMS's predicted improper payment targeting algorithm — key criterion is HCCs supported by a single encounter or added solely through chart review. OC stability is the county-level proxy for this pattern. Source: </w:t>
            </w:r>
            <w:hyperlink w:history="1" r:id="rIdg6kenwhag7rn7zk4vg1ed">
              <w:r>
                <w:rPr>
                  <w:rStyle w:val="Hyperlink"/>
                  <w:rFonts w:ascii="Arial" w:cs="Arial" w:eastAsia="Arial" w:hAnsi="Arial"/>
                  <w:sz w:val="17"/>
                  <w:szCs w:val="17"/>
                </w:rPr>
                <w:t xml:space="preserve">PY 2019 RADV Audit Methods &amp; Instructions</w:t>
              </w:r>
            </w:hyperlink>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Validation</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Cross-reference OC1 vs. OC3 delta against efficiency ratio. Low OC delta + high efficiency ratio = highest-priority flag combination.</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Implementation note</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Requires joining multiple PUF vintages on (STATE_ID, COUNTY_ID, YEAR, enrollment_type). Missing OC vintage will produce KeyError on merge — validate all cut files present before joining.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1FAE5" w:val="clear"/>
            <w:tcMar>
              <w:top w:type="dxa" w:w="80"/>
              <w:left w:type="dxa" w:w="80"/>
              <w:bottom w:type="dxa" w:w="80"/>
              <w:right w:type="dxa" w:w="80"/>
            </w:tcMar>
          </w:tcPr>
          <w:p/>
        </w:tc>
        <w:tc>
          <w:tcPr>
            <w:tcW w:type="dxa" w:w="9200"/>
            <w:tcBorders>
              <w:top w:val="none" w:color="FFFFFF" w:sz="0"/>
              <w:left w:val="single" w:color="0F6E56" w:sz="12"/>
              <w:bottom w:val="none" w:color="FFFFFF" w:sz="0"/>
              <w:right w:val="none" w:color="FFFFFF" w:sz="0"/>
            </w:tcBorders>
            <w:shd w:fill="ECFDF5" w:val="clear"/>
            <w:tcMar>
              <w:top w:type="dxa" w:w="80"/>
              <w:left w:type="dxa" w:w="140"/>
              <w:bottom w:type="dxa" w:w="80"/>
              <w:right w:type="dxa" w:w="120"/>
            </w:tcMar>
          </w:tcPr>
          <w:p>
            <w:pPr>
              <w:spacing w:after="40" w:before="0"/>
            </w:pPr>
            <w:r>
              <w:rPr>
                <w:rFonts w:ascii="Arial" w:cs="Arial" w:eastAsia="Arial" w:hAnsi="Arial"/>
                <w:b/>
                <w:bCs/>
                <w:i w:val="false"/>
                <w:iCs w:val="false"/>
                <w:color w:val="0F6E56"/>
                <w:sz w:val="17"/>
                <w:szCs w:val="17"/>
              </w:rPr>
              <w:t xml:space="preserve">Module A — key finding target</w:t>
            </w:r>
          </w:p>
          <w:p>
            <w:pPr>
              <w:spacing w:after="0" w:before="0"/>
            </w:pPr>
            <w:r>
              <w:rPr>
                <w:rFonts w:ascii="Arial" w:cs="Arial" w:eastAsia="Arial" w:hAnsi="Arial"/>
                <w:b w:val="false"/>
                <w:bCs w:val="false"/>
                <w:i w:val="false"/>
                <w:iCs w:val="false"/>
                <w:color w:val="1F2937"/>
                <w:sz w:val="18"/>
                <w:szCs w:val="18"/>
              </w:rPr>
              <w:t xml:space="preserve">Identify counties where YoY risk score growth exceeded 2 SD AND expenditure growth exceeded the national trend factor (~3.6% for PY2024). Cross-reference with V28 coding exposure index — counties with high ESRD exposure showing positive V28 delta have CKD specificity opportunity; counties with high Aged Non-Dual exposure showing negative delta face vascular/metabolic compression. For ESRD specifically: flag counties where CKD coding appears incomplete based on V28 delta estimate. DM+CHF, CHF+CKD combinations are RADV audit priority codes at the beneficiary level.</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FCEBEB" w:val="clear"/>
            <w:tcMar>
              <w:top w:type="dxa" w:w="80"/>
              <w:left w:type="dxa" w:w="80"/>
              <w:bottom w:type="dxa" w:w="80"/>
              <w:right w:type="dxa" w:w="80"/>
            </w:tcMar>
          </w:tcPr>
          <w:p/>
        </w:tc>
        <w:tc>
          <w:tcPr>
            <w:tcW w:type="dxa" w:w="9200"/>
            <w:tcBorders>
              <w:top w:val="none" w:color="FFFFFF" w:sz="0"/>
              <w:left w:val="single" w:color="A32D2D" w:sz="12"/>
              <w:bottom w:val="none" w:color="FFFFFF" w:sz="0"/>
              <w:right w:val="none" w:color="FFFFFF" w:sz="0"/>
            </w:tcBorders>
            <w:shd w:fill="FFF5F5" w:val="clear"/>
            <w:tcMar>
              <w:top w:type="dxa" w:w="80"/>
              <w:left w:type="dxa" w:w="140"/>
              <w:bottom w:type="dxa" w:w="80"/>
              <w:right w:type="dxa" w:w="120"/>
            </w:tcMar>
          </w:tcPr>
          <w:p>
            <w:pPr>
              <w:spacing w:after="40" w:before="0"/>
            </w:pPr>
            <w:r>
              <w:rPr>
                <w:rFonts w:ascii="Arial" w:cs="Arial" w:eastAsia="Arial" w:hAnsi="Arial"/>
                <w:b/>
                <w:bCs/>
                <w:i w:val="false"/>
                <w:iCs w:val="false"/>
                <w:color w:val="A32D2D"/>
                <w:sz w:val="17"/>
                <w:szCs w:val="17"/>
              </w:rPr>
              <w:t xml:space="preserve">Changes from v4 in this module</w:t>
            </w:r>
          </w:p>
          <w:p>
            <w:pPr>
              <w:pStyle w:val="ListParagraph"/>
              <w:numPr>
                <w:ilvl w:val="0"/>
                <w:numId w:val="2"/>
              </w:numPr>
              <w:spacing w:after="30" w:before="30"/>
            </w:pPr>
            <w:r>
              <w:rPr>
                <w:rFonts w:ascii="Arial" w:cs="Arial" w:eastAsia="Arial" w:hAnsi="Arial"/>
                <w:b w:val="false"/>
                <w:bCs w:val="false"/>
                <w:i w:val="false"/>
                <w:iCs w:val="false"/>
                <w:color w:val="1F2937"/>
                <w:sz w:val="17"/>
                <w:szCs w:val="17"/>
              </w:rPr>
              <w:t xml:space="preserve">Variable 3 (HCC concentration index) replaced with V28 coding exposure index — original was not constructible from public PUF data; cited CMS Part C data URL led to wrong page</w:t>
            </w:r>
          </w:p>
          <w:p>
            <w:pPr>
              <w:pStyle w:val="ListParagraph"/>
              <w:numPr>
                <w:ilvl w:val="0"/>
                <w:numId w:val="2"/>
              </w:numPr>
              <w:spacing w:after="30" w:before="30"/>
            </w:pPr>
            <w:r>
              <w:rPr>
                <w:rFonts w:ascii="Arial" w:cs="Arial" w:eastAsia="Arial" w:hAnsi="Arial"/>
                <w:b w:val="false"/>
                <w:bCs w:val="false"/>
                <w:i w:val="false"/>
                <w:iCs w:val="false"/>
                <w:color w:val="1F2937"/>
                <w:sz w:val="17"/>
                <w:szCs w:val="17"/>
              </w:rPr>
              <w:t xml:space="preserve">Variable 2 composite: HCC concentration sub-variable replaced with V28 coding exposure index; three confound flags added (TEAM_county, V28_transition_year, enrollment_type_shift); weights explicitly labeled as unvalidated working assumptions with FICO/Altman Z-Score analogy</w:t>
            </w:r>
          </w:p>
          <w:p>
            <w:pPr>
              <w:pStyle w:val="ListParagraph"/>
              <w:numPr>
                <w:ilvl w:val="0"/>
                <w:numId w:val="2"/>
              </w:numPr>
              <w:spacing w:after="30" w:before="30"/>
            </w:pPr>
            <w:r>
              <w:rPr>
                <w:rFonts w:ascii="Arial" w:cs="Arial" w:eastAsia="Arial" w:hAnsi="Arial"/>
                <w:b w:val="false"/>
                <w:bCs w:val="false"/>
                <w:i w:val="false"/>
                <w:iCs w:val="false"/>
                <w:color w:val="1F2937"/>
                <w:sz w:val="17"/>
                <w:szCs w:val="17"/>
              </w:rPr>
              <w:t xml:space="preserve">Non-ESRD enrollment type HCC mapping corrected — enrollment type is a demographic category, not a condition cluster; proxy is enrollment_type dominance ratio + YoY behavior, not inferred HCC attribution</w:t>
            </w:r>
          </w:p>
          <w:p>
            <w:pPr>
              <w:pStyle w:val="ListParagraph"/>
              <w:numPr>
                <w:ilvl w:val="0"/>
                <w:numId w:val="2"/>
              </w:numPr>
              <w:spacing w:after="30" w:before="30"/>
            </w:pPr>
            <w:r>
              <w:rPr>
                <w:rFonts w:ascii="Arial" w:cs="Arial" w:eastAsia="Arial" w:hAnsi="Arial"/>
                <w:b w:val="false"/>
                <w:bCs w:val="false"/>
                <w:i w:val="false"/>
                <w:iCs w:val="false"/>
                <w:color w:val="1F2937"/>
                <w:sz w:val="17"/>
                <w:szCs w:val="17"/>
              </w:rPr>
              <w:t xml:space="preserve">Module D (FHIR field map) removed — separated into standalone fhir-cms-interop-toolkit project</w:t>
            </w:r>
          </w:p>
          <w:p>
            <w:pPr>
              <w:pStyle w:val="ListParagraph"/>
              <w:numPr>
                <w:ilvl w:val="0"/>
                <w:numId w:val="2"/>
              </w:numPr>
              <w:spacing w:after="30" w:before="30"/>
            </w:pPr>
            <w:r>
              <w:rPr>
                <w:rFonts w:ascii="Arial" w:cs="Arial" w:eastAsia="Arial" w:hAnsi="Arial"/>
                <w:b w:val="false"/>
                <w:bCs w:val="false"/>
                <w:i w:val="false"/>
                <w:iCs w:val="false"/>
                <w:color w:val="1F2937"/>
                <w:sz w:val="17"/>
                <w:szCs w:val="17"/>
              </w:rPr>
              <w:t xml:space="preserve">A.2 files list updated to include v28_exposure_index.py</w:t>
            </w:r>
          </w:p>
        </w:tc>
      </w:tr>
    </w:tbl>
    <w:p>
      <w:pPr>
        <w:spacing w:after="200" w:before="200"/>
      </w:pPr>
    </w:p>
    <w:p>
      <w:pPr>
        <w:pStyle w:val="Heading2"/>
        <w:spacing w:after="100" w:before="260"/>
      </w:pPr>
      <w:r>
        <w:rPr>
          <w:rFonts w:ascii="Arial" w:cs="Arial" w:eastAsia="Arial" w:hAnsi="Arial"/>
          <w:b/>
          <w:bCs/>
          <w:color w:val="534AB7"/>
          <w:sz w:val="28"/>
          <w:szCs w:val="28"/>
        </w:rPr>
        <w:t xml:space="preserve">Module B — Shared savings reconciliation model  (Track 3: VBC financial modeling)</w:t>
      </w:r>
    </w:p>
    <w:p>
      <w:pPr>
        <w:spacing w:after="100" w:before="0"/>
        <w:jc w:val="left"/>
      </w:pPr>
      <w:r>
        <w:rPr>
          <w:rFonts w:ascii="Arial" w:cs="Arial" w:eastAsia="Arial" w:hAnsi="Arial"/>
          <w:b w:val="false"/>
          <w:bCs w:val="false"/>
          <w:i/>
          <w:iCs/>
          <w:color w:val="6B7280"/>
          <w:sz w:val="17"/>
          <w:szCs w:val="17"/>
        </w:rPr>
        <w:t xml:space="preserve">Path: modules/shared_savings_model/</w:t>
      </w:r>
    </w:p>
    <w:p>
      <w:pPr>
        <w:spacing w:after="60" w:before="60"/>
      </w:pPr>
    </w:p>
    <w:p>
      <w:pPr>
        <w:spacing w:after="100" w:before="0"/>
        <w:jc w:val="left"/>
      </w:pPr>
      <w:r>
        <w:rPr>
          <w:rFonts w:ascii="Arial" w:cs="Arial" w:eastAsia="Arial" w:hAnsi="Arial"/>
          <w:b w:val="false"/>
          <w:bCs w:val="false"/>
          <w:i w:val="false"/>
          <w:iCs w:val="false"/>
          <w:color w:val="1F2937"/>
          <w:sz w:val="19"/>
          <w:szCs w:val="19"/>
        </w:rPr>
        <w:t xml:space="preserve">Direct extension of the expenditure efficiency ratio work. Module B adds the financial reconciliation layer: simulating how CMS calculates benchmark, compares to actual spend, and determines shared savings or shared loss. Uses county aggregates as a proxy for ACO-level inputs — introduces known ~5–8% aggregation bias vs. ground truth, documented in README. Also adds a TEAM episode cost analog and V28 benchmark version skew quantification.</w:t>
      </w:r>
    </w:p>
    <w:p>
      <w:pPr>
        <w:spacing w:after="80" w:before="80"/>
      </w:pPr>
    </w:p>
    <w:p>
      <w:pPr>
        <w:pStyle w:val="Heading3"/>
        <w:spacing w:after="70" w:before="180"/>
      </w:pPr>
      <w:r>
        <w:rPr>
          <w:rFonts w:ascii="Arial" w:cs="Arial" w:eastAsia="Arial" w:hAnsi="Arial"/>
          <w:b/>
          <w:bCs/>
          <w:color w:val="0F6E56"/>
          <w:sz w:val="22"/>
          <w:szCs w:val="22"/>
        </w:rPr>
        <w:t xml:space="preserve">B.1  Files</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benchmark_constructor.py — builds MSSP-style risk-adjusted benchmark per county/enrollment-type with V24 and V28 variants</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shared_savings_calc.py — Track A / Track B / ENHANCED reconciliation logic with MSR filter</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team_episode_proxy.py — post-acute spend as episode cost analog for TEAM model counties</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benchmark_version_skew.py — V24 vs. V28 efficiency ratio delta by county and enrollment type</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financial_model.ipynb — full reconciliation output + benchmark vs. actual by RAF quartile + V28 skew bar chart</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README_financial_model.md — explains MSSP + TEAM financial methodology with all source links, documents county-vs-ACO aggregation bias</w:t>
      </w:r>
    </w:p>
    <w:p>
      <w:pPr>
        <w:spacing w:after="80" w:before="80"/>
      </w:pPr>
    </w:p>
    <w:p>
      <w:pPr>
        <w:pStyle w:val="Heading3"/>
        <w:spacing w:after="70" w:before="180"/>
      </w:pPr>
      <w:r>
        <w:rPr>
          <w:rFonts w:ascii="Arial" w:cs="Arial" w:eastAsia="Arial" w:hAnsi="Arial"/>
          <w:b/>
          <w:bCs/>
          <w:color w:val="0F6E56"/>
          <w:sz w:val="22"/>
          <w:szCs w:val="22"/>
        </w:rPr>
        <w:t xml:space="preserve">B.2  Variable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1D5DB" w:sz="4"/>
              <w:left w:val="single" w:color="D1D5DB" w:sz="4"/>
              <w:bottom w:val="single" w:color="D1D5DB" w:sz="4"/>
              <w:right w:val="single" w:color="D1D5DB" w:sz="4"/>
            </w:tcBorders>
            <w:shd w:fill="FEF3C7" w:val="clear"/>
            <w:tcMar>
              <w:top w:type="dxa" w:w="60"/>
              <w:left w:type="dxa" w:w="100"/>
              <w:bottom w:type="dxa" w:w="60"/>
              <w:right w:type="dxa" w:w="100"/>
            </w:tcMar>
          </w:tcPr>
          <w:p>
            <w:r>
              <w:rPr>
                <w:rFonts w:ascii="Arial" w:cs="Arial" w:eastAsia="Arial" w:hAnsi="Arial"/>
                <w:b/>
                <w:bCs/>
                <w:i w:val="false"/>
                <w:iCs w:val="false"/>
                <w:color w:val="854F0B"/>
                <w:sz w:val="18"/>
                <w:szCs w:val="18"/>
              </w:rPr>
              <w:t xml:space="preserve">Variable 1 — Risk-adjusted benchmark  |  Veracity: High-Medium</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Formula</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Simplified MSSP Step 2: PER_CAPITA_EXP_baseline × National_Trend_Factor × (AVG_RISK_SCORE_PY / AVG_RISK_SCORE_BY). BY = benchmark year, PY = performance year.</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Source type</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Derived from PUF (per_capita_exp, avg_risk_score) + two external constants: national trend factor and benchmark year risk scores.</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Known omissions</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Regional benchmark component, quality withholds, enrollment-type normalization, and agreement-period cohort segmentation are not included. Directionally correct; systematically biased for specific county types. Document omissions in README.</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Verified constant</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CMS publishes the national trend factor annually in the MSSP Advance Notice. PY2024: approximately 1.036 (3.6% trend). Verify against current year announcement before using.</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Ground truth validation</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Compare simulated benchmarks against published ACO-level benchmarks. Should align within 5–8% given county-vs-ACO aggregation differences. Source: </w:t>
            </w:r>
            <w:hyperlink w:history="1" r:id="rIdjbm9nqxyvvakty-6dubz5">
              <w:r>
                <w:rPr>
                  <w:rStyle w:val="Hyperlink"/>
                  <w:rFonts w:ascii="Arial" w:cs="Arial" w:eastAsia="Arial" w:hAnsi="Arial"/>
                  <w:sz w:val="17"/>
                  <w:szCs w:val="17"/>
                </w:rPr>
                <w:t xml:space="preserve">CMS MSSP PY Financial Results PUF</w:t>
              </w:r>
            </w:hyperlink>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1D5DB" w:sz="4"/>
              <w:left w:val="single" w:color="D1D5DB" w:sz="4"/>
              <w:bottom w:val="single" w:color="D1D5DB" w:sz="4"/>
              <w:right w:val="single" w:color="D1D5DB" w:sz="4"/>
            </w:tcBorders>
            <w:shd w:fill="FEF3C7" w:val="clear"/>
            <w:tcMar>
              <w:top w:type="dxa" w:w="60"/>
              <w:left w:type="dxa" w:w="100"/>
              <w:bottom w:type="dxa" w:w="60"/>
              <w:right w:type="dxa" w:w="100"/>
            </w:tcMar>
          </w:tcPr>
          <w:p>
            <w:r>
              <w:rPr>
                <w:rFonts w:ascii="Arial" w:cs="Arial" w:eastAsia="Arial" w:hAnsi="Arial"/>
                <w:b/>
                <w:bCs/>
                <w:i w:val="false"/>
                <w:iCs w:val="false"/>
                <w:color w:val="854F0B"/>
                <w:sz w:val="18"/>
                <w:szCs w:val="18"/>
              </w:rPr>
              <w:t xml:space="preserve">Variable 2 — Shared savings / loss  |  Veracity: High</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Formula</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(Benchmark − Actual_per_capita_exp) / Benchmark × 100. Positive = savings. Negative = loss. Must exceed MSR to qualify for shared savings distribution.</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Source type</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Derived from PUF (actual per_capita_exp) + simulated benchmark (Variable 1). No additional external file required.</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Benchmark range</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CMS national average 1–3% of benchmark for Track A. ACOs subject to 2024 new benchmarking methodology averaged $143 net savings per capita vs. $241 for those not subject to it — segment by agreement_period_start_date to separate cohorts.</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Ground truth</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Actual savings/loss amounts by ACO and performance year. Use to validate simulation direction. Source: </w:t>
            </w:r>
            <w:hyperlink w:history="1" r:id="rIdzx85jmr-koxwwiqnumehh">
              <w:r>
                <w:rPr>
                  <w:rStyle w:val="Hyperlink"/>
                  <w:rFonts w:ascii="Arial" w:cs="Arial" w:eastAsia="Arial" w:hAnsi="Arial"/>
                  <w:sz w:val="17"/>
                  <w:szCs w:val="17"/>
                </w:rPr>
                <w:t xml:space="preserve">CMS MSSP PY Financial Results PUF</w:t>
              </w:r>
            </w:hyperlink>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1D5DB" w:sz="4"/>
              <w:left w:val="single" w:color="D1D5DB" w:sz="4"/>
              <w:bottom w:val="single" w:color="D1D5DB" w:sz="4"/>
              <w:right w:val="single" w:color="D1D5DB" w:sz="4"/>
            </w:tcBorders>
            <w:shd w:fill="FEF3C7" w:val="clear"/>
            <w:tcMar>
              <w:top w:type="dxa" w:w="60"/>
              <w:left w:type="dxa" w:w="100"/>
              <w:bottom w:type="dxa" w:w="60"/>
              <w:right w:type="dxa" w:w="100"/>
            </w:tcMar>
          </w:tcPr>
          <w:p>
            <w:r>
              <w:rPr>
                <w:rFonts w:ascii="Arial" w:cs="Arial" w:eastAsia="Arial" w:hAnsi="Arial"/>
                <w:b/>
                <w:bCs/>
                <w:i w:val="false"/>
                <w:iCs w:val="false"/>
                <w:color w:val="854F0B"/>
                <w:sz w:val="18"/>
                <w:szCs w:val="18"/>
              </w:rPr>
              <w:t xml:space="preserve">Variable 3 — Minimum savings rate (MSR)  |  Veracity: High — verified constant</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Definition</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Regulatory parameter — the minimum percentage by which an ACO's actual expenditures must fall below its benchmark to qualify for shared savings under Track A. Not a computed variable; a filter applied in shared_savings_calc.py.</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Values</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Track A: 3.5% MSR for ACOs with ≤5,000 assigned beneficiaries, sliding scale to 2.0% for ACOs &gt;60,000 beneficiaries. Track ENHANCED: no MSR — first dollar savings qualify.</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Source</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hyperlink w:history="1" r:id="rIdzbqnjrypvzyculkndqxhy">
              <w:r>
                <w:rPr>
                  <w:rStyle w:val="Hyperlink"/>
                  <w:rFonts w:ascii="Arial" w:cs="Arial" w:eastAsia="Arial" w:hAnsi="Arial"/>
                  <w:sz w:val="17"/>
                  <w:szCs w:val="17"/>
                </w:rPr>
                <w:t xml:space="preserve">CMS MSSP Program Rules — 42 CFR § 425.610</w:t>
              </w:r>
            </w:hyperlink>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Analytical note</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Counties generating 1–3.4% savings are technically saving but not qualifying for distribution — flag as 'At MSR threshold.' This is the analytically interesting population: benchmark methodology may be penalizing moderate-complexity counties.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1D5DB" w:sz="4"/>
              <w:left w:val="single" w:color="D1D5DB" w:sz="4"/>
              <w:bottom w:val="single" w:color="D1D5DB" w:sz="4"/>
              <w:right w:val="single" w:color="D1D5DB" w:sz="4"/>
            </w:tcBorders>
            <w:shd w:fill="FEF3C7" w:val="clear"/>
            <w:tcMar>
              <w:top w:type="dxa" w:w="60"/>
              <w:left w:type="dxa" w:w="100"/>
              <w:bottom w:type="dxa" w:w="60"/>
              <w:right w:type="dxa" w:w="100"/>
            </w:tcMar>
          </w:tcPr>
          <w:p>
            <w:r>
              <w:rPr>
                <w:rFonts w:ascii="Arial" w:cs="Arial" w:eastAsia="Arial" w:hAnsi="Arial"/>
                <w:b/>
                <w:bCs/>
                <w:i w:val="false"/>
                <w:iCs w:val="false"/>
                <w:color w:val="854F0B"/>
                <w:sz w:val="18"/>
                <w:szCs w:val="18"/>
              </w:rPr>
              <w:t xml:space="preserve">Variable 4 — TEAM episode proxy cost  |  Veracity: Low-Medium</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Formula</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Post-acute per_capita_exp + inpatient per_capita_exp for TEAM-selected counties vs. matched non-TEAM control counties, estimated over a 30-day episode window proxy. PUF has no 30-day episode windows; proxy uses annual expenditure divided by estimated episode frequency.</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Source type</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Derived from PUF expenditure columns + TEAM CBSA selection list (external, from FY2026 IPPS Final Rule).</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Honest limitation</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The denominator (estimated episode frequency) is assumed, not observed. TEAM-selected CBSAs can be identified from the IPPS Final Rule, enabling the geographic flag. The episode cost proxy is two inferential steps from actual TEAM target prices. Label prominently in README as 'highly simplified proxy — do not present as a simulation.'</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TEAM CBSA source</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hyperlink w:history="1" r:id="rId85gs_hgo6l1k4be300epd">
              <w:r>
                <w:rPr>
                  <w:rStyle w:val="Hyperlink"/>
                  <w:rFonts w:ascii="Arial" w:cs="Arial" w:eastAsia="Arial" w:hAnsi="Arial"/>
                  <w:sz w:val="17"/>
                  <w:szCs w:val="17"/>
                </w:rPr>
                <w:t xml:space="preserve">CMS TEAM Model Page — mandatory CBSA list</w:t>
              </w:r>
            </w:hyperlink>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Episode target prices</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Target prices for 5 surgical episodes (LEJR, spinal fusion, CABG, hip fracture, major bowel). Use as upper bound for proxy validation. Source: </w:t>
            </w:r>
            <w:hyperlink w:history="1" r:id="rIdcei11rsgwpwueshflfh8y">
              <w:r>
                <w:rPr>
                  <w:rStyle w:val="Hyperlink"/>
                  <w:rFonts w:ascii="Arial" w:cs="Arial" w:eastAsia="Arial" w:hAnsi="Arial"/>
                  <w:sz w:val="17"/>
                  <w:szCs w:val="17"/>
                </w:rPr>
                <w:t xml:space="preserve">FY2026 IPPS Final Rule — TEAM section</w:t>
              </w:r>
            </w:hyperlink>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1D5DB" w:sz="4"/>
              <w:left w:val="single" w:color="D1D5DB" w:sz="4"/>
              <w:bottom w:val="single" w:color="D1D5DB" w:sz="4"/>
              <w:right w:val="single" w:color="D1D5DB" w:sz="4"/>
            </w:tcBorders>
            <w:shd w:fill="FEF3C7" w:val="clear"/>
            <w:tcMar>
              <w:top w:type="dxa" w:w="60"/>
              <w:left w:type="dxa" w:w="100"/>
              <w:bottom w:type="dxa" w:w="60"/>
              <w:right w:type="dxa" w:w="100"/>
            </w:tcMar>
          </w:tcPr>
          <w:p>
            <w:r>
              <w:rPr>
                <w:rFonts w:ascii="Arial" w:cs="Arial" w:eastAsia="Arial" w:hAnsi="Arial"/>
                <w:b/>
                <w:bCs/>
                <w:i w:val="false"/>
                <w:iCs w:val="false"/>
                <w:color w:val="854F0B"/>
                <w:sz w:val="18"/>
                <w:szCs w:val="18"/>
              </w:rPr>
              <w:t xml:space="preserve">Variable 5 — Benchmark version skew  |  Veracity: Medium</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Formula</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Efficiency_ratio_V28_adjusted − Efficiency_ratio_V24_adjusted. Computed by applying V24 and V28 coefficient weights from CMS crosswalk to the county's enrollment-type mix, comparing resulting risk score estimates and the efficiency ratio each would produce.</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Source type</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Derived from PUF + two external constant tables from CMS annual rate announcements.</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Coefficient tables</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hyperlink w:history="1" r:id="rIdwupzxu3cvmflx4cz0jjqj">
              <w:r>
                <w:rPr>
                  <w:rStyle w:val="Hyperlink"/>
                  <w:rFonts w:ascii="Arial" w:cs="Arial" w:eastAsia="Arial" w:hAnsi="Arial"/>
                  <w:sz w:val="17"/>
                  <w:szCs w:val="17"/>
                </w:rPr>
                <w:t xml:space="preserve">CMS Advance Notice Archive — Table VIII-1 (V28) and VI-1 (V24)</w:t>
              </w:r>
            </w:hyperlink>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Directional conclusion</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ESRD: positive V28 delta (benefit from CKD specificity). Disabled: ~−4% compression. Aged Dual: ~−2% compression. Aged Non-Dual: largest compression (~−5 to −6%) from vascular and metabolic HCC removals. Directional conclusion is supportable without precise county-level HCC prevalence data; precise magnitude requires beneficiary-level data.</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Key finding</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V28 version skew is largest at the highest RAF bands — exactly where financial pressure from shared savings losses is already highest. Separate the skew contribution from genuine performance change before drawing conclusions about ACO effectiveness.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D1FAE5" w:val="clear"/>
            <w:tcMar>
              <w:top w:type="dxa" w:w="80"/>
              <w:left w:type="dxa" w:w="80"/>
              <w:bottom w:type="dxa" w:w="80"/>
              <w:right w:type="dxa" w:w="80"/>
            </w:tcMar>
          </w:tcPr>
          <w:p/>
        </w:tc>
        <w:tc>
          <w:tcPr>
            <w:tcW w:type="dxa" w:w="9200"/>
            <w:tcBorders>
              <w:top w:val="none" w:color="FFFFFF" w:sz="0"/>
              <w:left w:val="single" w:color="0F6E56" w:sz="12"/>
              <w:bottom w:val="none" w:color="FFFFFF" w:sz="0"/>
              <w:right w:val="none" w:color="FFFFFF" w:sz="0"/>
            </w:tcBorders>
            <w:shd w:fill="ECFDF5" w:val="clear"/>
            <w:tcMar>
              <w:top w:type="dxa" w:w="80"/>
              <w:left w:type="dxa" w:w="140"/>
              <w:bottom w:type="dxa" w:w="80"/>
              <w:right w:type="dxa" w:w="120"/>
            </w:tcMar>
          </w:tcPr>
          <w:p>
            <w:pPr>
              <w:spacing w:after="40" w:before="0"/>
            </w:pPr>
            <w:r>
              <w:rPr>
                <w:rFonts w:ascii="Arial" w:cs="Arial" w:eastAsia="Arial" w:hAnsi="Arial"/>
                <w:b/>
                <w:bCs/>
                <w:i w:val="false"/>
                <w:iCs w:val="false"/>
                <w:color w:val="0F6E56"/>
                <w:sz w:val="17"/>
                <w:szCs w:val="17"/>
              </w:rPr>
              <w:t xml:space="preserve">Module B — key finding target</w:t>
            </w:r>
          </w:p>
          <w:p>
            <w:pPr>
              <w:spacing w:after="0" w:before="0"/>
            </w:pPr>
            <w:r>
              <w:rPr>
                <w:rFonts w:ascii="Arial" w:cs="Arial" w:eastAsia="Arial" w:hAnsi="Arial"/>
                <w:b w:val="false"/>
                <w:bCs w:val="false"/>
                <w:i w:val="false"/>
                <w:iCs w:val="false"/>
                <w:color w:val="1F2937"/>
                <w:sz w:val="18"/>
                <w:szCs w:val="18"/>
              </w:rPr>
              <w:t xml:space="preserve">ACOs with RAF scores above 1.20 systematically exceed benchmark under Track A — the benchmark construction underweights severity for high-complexity populations. Quantify the V28 version skew contribution separately so methodology artifact is not conflated with genuine performance. The 0.86–1.00 RAF band is analytically interesting: counties may be generating savings but failing to clear the MSR, meaning the benchmark methodology penalizes moderate-complexity populations. This is publishable.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FCEBEB" w:val="clear"/>
            <w:tcMar>
              <w:top w:type="dxa" w:w="80"/>
              <w:left w:type="dxa" w:w="80"/>
              <w:bottom w:type="dxa" w:w="80"/>
              <w:right w:type="dxa" w:w="80"/>
            </w:tcMar>
          </w:tcPr>
          <w:p/>
        </w:tc>
        <w:tc>
          <w:tcPr>
            <w:tcW w:type="dxa" w:w="9200"/>
            <w:tcBorders>
              <w:top w:val="none" w:color="FFFFFF" w:sz="0"/>
              <w:left w:val="single" w:color="A32D2D" w:sz="12"/>
              <w:bottom w:val="none" w:color="FFFFFF" w:sz="0"/>
              <w:right w:val="none" w:color="FFFFFF" w:sz="0"/>
            </w:tcBorders>
            <w:shd w:fill="FFF5F5" w:val="clear"/>
            <w:tcMar>
              <w:top w:type="dxa" w:w="80"/>
              <w:left w:type="dxa" w:w="140"/>
              <w:bottom w:type="dxa" w:w="80"/>
              <w:right w:type="dxa" w:w="120"/>
            </w:tcMar>
          </w:tcPr>
          <w:p>
            <w:pPr>
              <w:spacing w:after="40" w:before="0"/>
            </w:pPr>
            <w:r>
              <w:rPr>
                <w:rFonts w:ascii="Arial" w:cs="Arial" w:eastAsia="Arial" w:hAnsi="Arial"/>
                <w:b/>
                <w:bCs/>
                <w:i w:val="false"/>
                <w:iCs w:val="false"/>
                <w:color w:val="A32D2D"/>
                <w:sz w:val="17"/>
                <w:szCs w:val="17"/>
              </w:rPr>
              <w:t xml:space="preserve">Changes from v4 in this module</w:t>
            </w:r>
          </w:p>
          <w:p>
            <w:pPr>
              <w:pStyle w:val="ListParagraph"/>
              <w:numPr>
                <w:ilvl w:val="0"/>
                <w:numId w:val="2"/>
              </w:numPr>
              <w:spacing w:after="30" w:before="30"/>
            </w:pPr>
            <w:r>
              <w:rPr>
                <w:rFonts w:ascii="Arial" w:cs="Arial" w:eastAsia="Arial" w:hAnsi="Arial"/>
                <w:b w:val="false"/>
                <w:bCs w:val="false"/>
                <w:i w:val="false"/>
                <w:iCs w:val="false"/>
                <w:color w:val="1F2937"/>
                <w:sz w:val="17"/>
                <w:szCs w:val="17"/>
              </w:rPr>
              <w:t xml:space="preserve">V28 benchmark version skew added as Variable 5 — quantifies methodology artifact vs. genuine performance change by enrollment type</w:t>
            </w:r>
          </w:p>
          <w:p>
            <w:pPr>
              <w:pStyle w:val="ListParagraph"/>
              <w:numPr>
                <w:ilvl w:val="0"/>
                <w:numId w:val="2"/>
              </w:numPr>
              <w:spacing w:after="30" w:before="30"/>
            </w:pPr>
            <w:r>
              <w:rPr>
                <w:rFonts w:ascii="Arial" w:cs="Arial" w:eastAsia="Arial" w:hAnsi="Arial"/>
                <w:b w:val="false"/>
                <w:bCs w:val="false"/>
                <w:i w:val="false"/>
                <w:iCs w:val="false"/>
                <w:color w:val="1F2937"/>
                <w:sz w:val="17"/>
                <w:szCs w:val="17"/>
              </w:rPr>
              <w:t xml:space="preserve">benchmark_version_skew.py added to file list</w:t>
            </w:r>
          </w:p>
          <w:p>
            <w:pPr>
              <w:pStyle w:val="ListParagraph"/>
              <w:numPr>
                <w:ilvl w:val="0"/>
                <w:numId w:val="2"/>
              </w:numPr>
              <w:spacing w:after="30" w:before="30"/>
            </w:pPr>
            <w:r>
              <w:rPr>
                <w:rFonts w:ascii="Arial" w:cs="Arial" w:eastAsia="Arial" w:hAnsi="Arial"/>
                <w:b w:val="false"/>
                <w:bCs w:val="false"/>
                <w:i w:val="false"/>
                <w:iCs w:val="false"/>
                <w:color w:val="1F2937"/>
                <w:sz w:val="17"/>
                <w:szCs w:val="17"/>
              </w:rPr>
              <w:t xml:space="preserve">MSR 'At MSR threshold' framing added to Variable 3 — counties in 1–3.4% savings range are the analytically interesting case</w:t>
            </w:r>
          </w:p>
          <w:p>
            <w:pPr>
              <w:pStyle w:val="ListParagraph"/>
              <w:numPr>
                <w:ilvl w:val="0"/>
                <w:numId w:val="2"/>
              </w:numPr>
              <w:spacing w:after="30" w:before="30"/>
            </w:pPr>
            <w:r>
              <w:rPr>
                <w:rFonts w:ascii="Arial" w:cs="Arial" w:eastAsia="Arial" w:hAnsi="Arial"/>
                <w:b w:val="false"/>
                <w:bCs w:val="false"/>
                <w:i w:val="false"/>
                <w:iCs w:val="false"/>
                <w:color w:val="1F2937"/>
                <w:sz w:val="17"/>
                <w:szCs w:val="17"/>
              </w:rPr>
              <w:t xml:space="preserve">TEAM episode proxy cost (Variable 4) honest limitation label strengthened — must not be presented as a simulation</w:t>
            </w:r>
          </w:p>
          <w:p>
            <w:pPr>
              <w:pStyle w:val="ListParagraph"/>
              <w:numPr>
                <w:ilvl w:val="0"/>
                <w:numId w:val="2"/>
              </w:numPr>
              <w:spacing w:after="30" w:before="30"/>
            </w:pPr>
            <w:r>
              <w:rPr>
                <w:rFonts w:ascii="Arial" w:cs="Arial" w:eastAsia="Arial" w:hAnsi="Arial"/>
                <w:b w:val="false"/>
                <w:bCs w:val="false"/>
                <w:i w:val="false"/>
                <w:iCs w:val="false"/>
                <w:color w:val="1F2937"/>
                <w:sz w:val="17"/>
                <w:szCs w:val="17"/>
              </w:rPr>
              <w:t xml:space="preserve">Module D removed from build sequence</w:t>
            </w:r>
          </w:p>
        </w:tc>
      </w:tr>
    </w:tbl>
    <w:p>
      <w:pPr>
        <w:spacing w:after="200" w:before="200"/>
      </w:pPr>
    </w:p>
    <w:p>
      <w:pPr>
        <w:pStyle w:val="Heading2"/>
        <w:spacing w:after="100" w:before="260"/>
      </w:pPr>
      <w:r>
        <w:rPr>
          <w:rFonts w:ascii="Arial" w:cs="Arial" w:eastAsia="Arial" w:hAnsi="Arial"/>
          <w:b/>
          <w:bCs/>
          <w:color w:val="534AB7"/>
          <w:sz w:val="28"/>
          <w:szCs w:val="28"/>
        </w:rPr>
        <w:t xml:space="preserve">Module C — PA metrics simulation  (Track 1: PA metrics / compliance reporting)</w:t>
      </w:r>
    </w:p>
    <w:p>
      <w:pPr>
        <w:spacing w:after="100" w:before="0"/>
        <w:jc w:val="left"/>
      </w:pPr>
      <w:r>
        <w:rPr>
          <w:rFonts w:ascii="Arial" w:cs="Arial" w:eastAsia="Arial" w:hAnsi="Arial"/>
          <w:b w:val="false"/>
          <w:bCs w:val="false"/>
          <w:i/>
          <w:iCs/>
          <w:color w:val="6B7280"/>
          <w:sz w:val="17"/>
          <w:szCs w:val="17"/>
        </w:rPr>
        <w:t xml:space="preserve">Path: modules/pa_metrics_simulation/</w:t>
      </w:r>
    </w:p>
    <w:p>
      <w:pPr>
        <w:spacing w:after="60" w:before="60"/>
      </w:pPr>
    </w:p>
    <w:p>
      <w:pPr>
        <w:spacing w:after="100" w:before="0"/>
        <w:jc w:val="left"/>
      </w:pPr>
      <w:r>
        <w:rPr>
          <w:rFonts w:ascii="Arial" w:cs="Arial" w:eastAsia="Arial" w:hAnsi="Arial"/>
          <w:b w:val="false"/>
          <w:bCs w:val="false"/>
          <w:i w:val="false"/>
          <w:iCs w:val="false"/>
          <w:color w:val="1F2937"/>
          <w:sz w:val="19"/>
          <w:szCs w:val="19"/>
        </w:rPr>
        <w:t xml:space="preserve">MSSP ACOs interact with payers via prior authorization. This module simulates what a CMS-0057-F compliant PA metrics report would look like for an ACO-aligned population, using MSSP county-level specialty utilization fields as proxies for PA request volume and denial rate estimation. The simulation produces the 7 required fields in the format CMS requires payers to post publicly by March 31 annually. The primary portfolio value is demonstrating fluency with the CMS-0057-F schema and the ability to build the reporting pipeline — not the quantitative accuracy of the simulated rates.</w:t>
      </w:r>
    </w:p>
    <w:p>
      <w:pPr>
        <w:spacing w:after="80" w:before="80"/>
      </w:pPr>
    </w:p>
    <w:p>
      <w:pPr>
        <w:pStyle w:val="Heading3"/>
        <w:spacing w:after="70" w:before="180"/>
      </w:pPr>
      <w:r>
        <w:rPr>
          <w:rFonts w:ascii="Arial" w:cs="Arial" w:eastAsia="Arial" w:hAnsi="Arial"/>
          <w:b/>
          <w:bCs/>
          <w:color w:val="0F6E56"/>
          <w:sz w:val="22"/>
          <w:szCs w:val="22"/>
        </w:rPr>
        <w:t xml:space="preserve">C.1  Files</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pa_metrics_schema.py — 7 CMS-required fields defined as Python dataclass with validators (fields 2+3 must sum to 100%; fields 6+7 must sum to 100%; field 4 denominator is denied decisions, not total decisions)</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pa_metrics_simulation.py — generates synthetic metrics from MSSP utilization proxy fields with source-type labels</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pa_metrics_report.ipynb — renders output in CMS reporting template format with source badges (derived / external / constant / simulated)</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README_pa_metrics.md — explains CMS-0057-F context, data lineage, proxy assumptions, and honest disclosure of simulation limitations</w:t>
      </w:r>
    </w:p>
    <w:p>
      <w:pPr>
        <w:spacing w:after="80" w:before="80"/>
      </w:pPr>
    </w:p>
    <w:p>
      <w:pPr>
        <w:pStyle w:val="Heading3"/>
        <w:spacing w:after="70" w:before="180"/>
      </w:pPr>
      <w:r>
        <w:rPr>
          <w:rFonts w:ascii="Arial" w:cs="Arial" w:eastAsia="Arial" w:hAnsi="Arial"/>
          <w:b/>
          <w:bCs/>
          <w:color w:val="0F6E56"/>
          <w:sz w:val="22"/>
          <w:szCs w:val="22"/>
        </w:rPr>
        <w:t xml:space="preserve">C.2  The 7 CMS-required fields — definitions, source types, and benchmarks</w:t>
      </w:r>
    </w:p>
    <w:p>
      <w:pPr>
        <w:spacing w:after="100" w:before="0"/>
        <w:jc w:val="left"/>
      </w:pPr>
      <w:r>
        <w:rPr>
          <w:rFonts w:ascii="Arial" w:cs="Arial" w:eastAsia="Arial" w:hAnsi="Arial"/>
          <w:b w:val="false"/>
          <w:bCs w:val="false"/>
          <w:i/>
          <w:iCs/>
          <w:color w:val="6B7280"/>
          <w:sz w:val="17"/>
          <w:szCs w:val="17"/>
        </w:rPr>
        <w:t xml:space="preserve">Source type key: Derived = computed from MSSP PUF proxy columns. External = literature benchmark applied. Constant = CMS regulatory parameter. Simulated = modeled estimate with no direct data source.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1D5DB" w:sz="4"/>
              <w:left w:val="single" w:color="D1D5DB" w:sz="4"/>
              <w:bottom w:val="single" w:color="D1D5DB" w:sz="4"/>
              <w:right w:val="single" w:color="D1D5DB" w:sz="4"/>
            </w:tcBorders>
            <w:shd w:fill="D1FAE5" w:val="clear"/>
            <w:tcMar>
              <w:top w:type="dxa" w:w="60"/>
              <w:left w:type="dxa" w:w="100"/>
              <w:bottom w:type="dxa" w:w="60"/>
              <w:right w:type="dxa" w:w="100"/>
            </w:tcMar>
          </w:tcPr>
          <w:p>
            <w:r>
              <w:rPr>
                <w:rFonts w:ascii="Arial" w:cs="Arial" w:eastAsia="Arial" w:hAnsi="Arial"/>
                <w:b/>
                <w:bCs/>
                <w:i w:val="false"/>
                <w:iCs w:val="false"/>
                <w:color w:val="0F6E56"/>
                <w:sz w:val="18"/>
                <w:szCs w:val="18"/>
              </w:rPr>
              <w:t xml:space="preserve">Field 1 — List of PA-required items and services  |  Source: External constant</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Definition</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An enumerated list of all medical items and services (excluding drugs) requiring prior authorization. Published as a list, not a rate. Drugs explicitly excluded per CMS-0057-F.</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Source</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hyperlink w:history="1" r:id="rIdtvhnpimqlcvt7vfqx1xno">
              <w:r>
                <w:rPr>
                  <w:rStyle w:val="Hyperlink"/>
                  <w:rFonts w:ascii="Arial" w:cs="Arial" w:eastAsia="Arial" w:hAnsi="Arial"/>
                  <w:sz w:val="17"/>
                  <w:szCs w:val="17"/>
                </w:rPr>
                <w:t xml:space="preserve">CMS DMEPOS Required Prior Authorization List (updated Jan 2026)</w:t>
              </w:r>
            </w:hyperlink>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Simulation approach</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Map MSSP county utilization categories (inpatient, outpatient, post-acute, DME, home health) to service types on the CMS PA list. Creates the service-type crosswalk for the simulation.</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1D5DB" w:sz="4"/>
              <w:left w:val="single" w:color="D1D5DB" w:sz="4"/>
              <w:bottom w:val="single" w:color="D1D5DB" w:sz="4"/>
              <w:right w:val="single" w:color="D1D5DB" w:sz="4"/>
            </w:tcBorders>
            <w:shd w:fill="D1FAE5" w:val="clear"/>
            <w:tcMar>
              <w:top w:type="dxa" w:w="60"/>
              <w:left w:type="dxa" w:w="100"/>
              <w:bottom w:type="dxa" w:w="60"/>
              <w:right w:type="dxa" w:w="100"/>
            </w:tcMar>
          </w:tcPr>
          <w:p>
            <w:r>
              <w:rPr>
                <w:rFonts w:ascii="Arial" w:cs="Arial" w:eastAsia="Arial" w:hAnsi="Arial"/>
                <w:b/>
                <w:bCs/>
                <w:i w:val="false"/>
                <w:iCs w:val="false"/>
                <w:color w:val="0F6E56"/>
                <w:sz w:val="18"/>
                <w:szCs w:val="18"/>
              </w:rPr>
              <w:t xml:space="preserve">Field 2 — % standard requests approved  |  Source: Derived (weak proxy)  |  Veracity: Low-Medium</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Formula</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Approved standard PA decisions / Total standard PA decisions × 100. Standard = non-urgent, 7-calendar-day decision window per CMS-0057-F.</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MSSP proxy</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MSSP non-urgent specialty utilization rate as proxy for PA approval. Important limitation: PUF captures aggregate expenditure by category, not authorization event counts. Assumed proxy relationship is unvalidated and likely varies by county, plan mix, and specialty type.</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FFS benchmark</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Medicare FFS FY2024: ~92.3% approval rate. Source: </w:t>
            </w:r>
            <w:hyperlink w:history="1" r:id="rId8uh2l7z7xrakucmh6lzla">
              <w:r>
                <w:rPr>
                  <w:rStyle w:val="Hyperlink"/>
                  <w:rFonts w:ascii="Arial" w:cs="Arial" w:eastAsia="Arial" w:hAnsi="Arial"/>
                  <w:sz w:val="17"/>
                  <w:szCs w:val="17"/>
                </w:rPr>
                <w:t xml:space="preserve">CMS FFS PA &amp; Pre-Claim Review Program Stats FY2024 PDF</w:t>
              </w:r>
            </w:hyperlink>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MA benchmark</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MA plans: ~92.3% overall approval (7.7% denial rate). Source: </w:t>
            </w:r>
            <w:hyperlink w:history="1" r:id="rIdhqovwkouc6gr3fmoxfs64">
              <w:r>
                <w:rPr>
                  <w:rStyle w:val="Hyperlink"/>
                  <w:rFonts w:ascii="Arial" w:cs="Arial" w:eastAsia="Arial" w:hAnsi="Arial"/>
                  <w:sz w:val="17"/>
                  <w:szCs w:val="17"/>
                </w:rPr>
                <w:t xml:space="preserve">KFF Medicare Advantage PA 2024 Report</w:t>
              </w:r>
            </w:hyperlink>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CMS-0057-F source</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hyperlink w:history="1" r:id="rId2z8fcfrzwuapndomvilnl">
              <w:r>
                <w:rPr>
                  <w:rStyle w:val="Hyperlink"/>
                  <w:rFonts w:ascii="Arial" w:cs="Arial" w:eastAsia="Arial" w:hAnsi="Arial"/>
                  <w:sz w:val="17"/>
                  <w:szCs w:val="17"/>
                </w:rPr>
                <w:t xml:space="preserve">CMS PA API FAQ — exact metric fields and reporting cadence</w:t>
              </w:r>
            </w:hyperlink>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1D5DB" w:sz="4"/>
              <w:left w:val="single" w:color="D1D5DB" w:sz="4"/>
              <w:bottom w:val="single" w:color="D1D5DB" w:sz="4"/>
              <w:right w:val="single" w:color="D1D5DB" w:sz="4"/>
            </w:tcBorders>
            <w:shd w:fill="D1FAE5" w:val="clear"/>
            <w:tcMar>
              <w:top w:type="dxa" w:w="60"/>
              <w:left w:type="dxa" w:w="100"/>
              <w:bottom w:type="dxa" w:w="60"/>
              <w:right w:type="dxa" w:w="100"/>
            </w:tcMar>
          </w:tcPr>
          <w:p>
            <w:r>
              <w:rPr>
                <w:rFonts w:ascii="Arial" w:cs="Arial" w:eastAsia="Arial" w:hAnsi="Arial"/>
                <w:b/>
                <w:bCs/>
                <w:i w:val="false"/>
                <w:iCs w:val="false"/>
                <w:color w:val="0F6E56"/>
                <w:sz w:val="18"/>
                <w:szCs w:val="18"/>
              </w:rPr>
              <w:t xml:space="preserve">Field 3 — % standard requests denied  |  Source: Derived (inverse of F2)  |  Veracity: Medium by construction</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Formula</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Denied standard PA decisions / Total standard PA decisions × 100. Mathematically: 100% − Field 2. Fields 2 and 3 must sum to exactly 100% — validate in pa_metrics_schema.py with a dataclass validator.</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Benchmark</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FFS FY2024: ~7.7%. MA plans: ~7.7% fully or partially denied. Flag simulated counties &gt;10% as outliers requiring explanation. Partial denials (e.g., plan approves 10 of 14 requested therapy sessions) count as denials.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1D5DB" w:sz="4"/>
              <w:left w:val="single" w:color="D1D5DB" w:sz="4"/>
              <w:bottom w:val="single" w:color="D1D5DB" w:sz="4"/>
              <w:right w:val="single" w:color="D1D5DB" w:sz="4"/>
            </w:tcBorders>
            <w:shd w:fill="D1FAE5" w:val="clear"/>
            <w:tcMar>
              <w:top w:type="dxa" w:w="60"/>
              <w:left w:type="dxa" w:w="100"/>
              <w:bottom w:type="dxa" w:w="60"/>
              <w:right w:type="dxa" w:w="100"/>
            </w:tcMar>
          </w:tcPr>
          <w:p>
            <w:r>
              <w:rPr>
                <w:rFonts w:ascii="Arial" w:cs="Arial" w:eastAsia="Arial" w:hAnsi="Arial"/>
                <w:b/>
                <w:bCs/>
                <w:i w:val="false"/>
                <w:iCs w:val="false"/>
                <w:color w:val="0F6E56"/>
                <w:sz w:val="18"/>
                <w:szCs w:val="18"/>
              </w:rPr>
              <w:t xml:space="preserve">Field 4 — % approved after appeal  |  Source: External benchmark constant  |  Veracity: Low</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Formula</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PA decisions reversed on appeal / Total denied decisions × 100. CRITICAL: denominator is denied decisions, not total PA decisions. Dividing appeal overturn count by total PA requests instead of total denials understates the overturn rate by approximately 12x — a common implementation error.</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MSSP proxy</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None — no MSSP PUF field proxies appeal decisions. This field is a national benchmark constant applied uniformly. It does not vary by county or enrollment type in the simulation. Label explicitly as 'national benchmark constant applied uniformly — not a county-level simulation.'</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Benchmark</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MA plans: &gt;80% of appeals ultimately overturned in 2024 (80.7% per KFF). Simulation band: 61–80% range from KFF. Lower end reflects ACO-adjacent populations with more defensible initial denials.</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Honest limitation</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Derived from KFF MA literature, not MSSP data. Does not vary by county. Label as 'national benchmark constant applied uniformly' in the schema, not as a derived or simulated field.</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1D5DB" w:sz="4"/>
              <w:left w:val="single" w:color="D1D5DB" w:sz="4"/>
              <w:bottom w:val="single" w:color="D1D5DB" w:sz="4"/>
              <w:right w:val="single" w:color="D1D5DB" w:sz="4"/>
            </w:tcBorders>
            <w:shd w:fill="D1FAE5" w:val="clear"/>
            <w:tcMar>
              <w:top w:type="dxa" w:w="60"/>
              <w:left w:type="dxa" w:w="100"/>
              <w:bottom w:type="dxa" w:w="60"/>
              <w:right w:type="dxa" w:w="100"/>
            </w:tcMar>
          </w:tcPr>
          <w:p>
            <w:r>
              <w:rPr>
                <w:rFonts w:ascii="Arial" w:cs="Arial" w:eastAsia="Arial" w:hAnsi="Arial"/>
                <w:b/>
                <w:bCs/>
                <w:i w:val="false"/>
                <w:iCs w:val="false"/>
                <w:color w:val="0F6E56"/>
                <w:sz w:val="18"/>
                <w:szCs w:val="18"/>
              </w:rPr>
              <w:t xml:space="preserve">Field 5 — % extended review then approved  |  Source: Modeled constant  |  Veracity: Low</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Formula</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PA requests exceeding 7-calendar-day standard TAT that were ultimately approved / Total standard requests × 100.</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MSSP proxy</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None. This field is a modeled constant from UM literature. No FFS equivalent exists for this field. No public benchmark exists.</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Modeled estimate</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3–5% of standard requests from UM literature. Use 4% as central estimate; report sensitivity range 2–6%. Label as 'assumed constant — no public benchmark.' Note in README that no validation is possible; include field for schema completeness only.</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TAT source</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7 calendar days standard, 72 hours expedited. Source: </w:t>
            </w:r>
            <w:hyperlink w:history="1" r:id="rId4ehpnezpyogttjvmjhoih">
              <w:r>
                <w:rPr>
                  <w:rStyle w:val="Hyperlink"/>
                  <w:rFonts w:ascii="Arial" w:cs="Arial" w:eastAsia="Arial" w:hAnsi="Arial"/>
                  <w:sz w:val="17"/>
                  <w:szCs w:val="17"/>
                </w:rPr>
                <w:t xml:space="preserve">CMS-0057-F Final Rule — TAT requirements effective Jan 1, 2026</w:t>
              </w:r>
            </w:hyperlink>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1D5DB" w:sz="4"/>
              <w:left w:val="single" w:color="D1D5DB" w:sz="4"/>
              <w:bottom w:val="single" w:color="D1D5DB" w:sz="4"/>
              <w:right w:val="single" w:color="D1D5DB" w:sz="4"/>
            </w:tcBorders>
            <w:shd w:fill="D1FAE5" w:val="clear"/>
            <w:tcMar>
              <w:top w:type="dxa" w:w="60"/>
              <w:left w:type="dxa" w:w="100"/>
              <w:bottom w:type="dxa" w:w="60"/>
              <w:right w:type="dxa" w:w="100"/>
            </w:tcMar>
          </w:tcPr>
          <w:p>
            <w:r>
              <w:rPr>
                <w:rFonts w:ascii="Arial" w:cs="Arial" w:eastAsia="Arial" w:hAnsi="Arial"/>
                <w:b/>
                <w:bCs/>
                <w:i w:val="false"/>
                <w:iCs w:val="false"/>
                <w:color w:val="0F6E56"/>
                <w:sz w:val="18"/>
                <w:szCs w:val="18"/>
              </w:rPr>
              <w:t xml:space="preserve">Field 6 — % expedited requests approved  |  Source: Derived (weak proxy)  |  Veracity: Low-Medium</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Formula</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Approved expedited (urgent, 72-hour) PA decisions / Total expedited decisions × 100.</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MSSP proxy</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MSSP urgent/emergent utilization rate proxy. Same limitation as Field 2 — expenditure aggregates do not proxy authorization event counts.</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Benchmark</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Medicare FFS FY2024: ~89.1% expedited approval rate (CMS Pre-Claim Review Program Stats FY2024 PDF). CMS requires 72-hour turnaround for all expedited requests effective January 1, 2026.</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1D5DB" w:sz="4"/>
              <w:left w:val="single" w:color="D1D5DB" w:sz="4"/>
              <w:bottom w:val="single" w:color="D1D5DB" w:sz="4"/>
              <w:right w:val="single" w:color="D1D5DB" w:sz="4"/>
            </w:tcBorders>
            <w:shd w:fill="D1FAE5" w:val="clear"/>
            <w:tcMar>
              <w:top w:type="dxa" w:w="60"/>
              <w:left w:type="dxa" w:w="100"/>
              <w:bottom w:type="dxa" w:w="60"/>
              <w:right w:type="dxa" w:w="100"/>
            </w:tcMar>
          </w:tcPr>
          <w:p>
            <w:r>
              <w:rPr>
                <w:rFonts w:ascii="Arial" w:cs="Arial" w:eastAsia="Arial" w:hAnsi="Arial"/>
                <w:b/>
                <w:bCs/>
                <w:i w:val="false"/>
                <w:iCs w:val="false"/>
                <w:color w:val="0F6E56"/>
                <w:sz w:val="18"/>
                <w:szCs w:val="18"/>
              </w:rPr>
              <w:t xml:space="preserve">Field 7 — % expedited requests denied  |  Source: Derived (inverse of F6)  |  Veracity: Low-Medium</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Formula</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Denied expedited PA decisions / Total expedited decisions × 100. Mathematically: 100% − Field 6. Fields 6 and 7 must sum to exactly 100% — validate in schema.</w:t>
            </w:r>
          </w:p>
        </w:tc>
      </w:tr>
      <w:tr>
        <w:tc>
          <w:tcPr>
            <w:tcW w:type="dxa" w:w="18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Benchmark</w:t>
            </w:r>
          </w:p>
        </w:tc>
        <w:tc>
          <w:tcPr>
            <w:tcW w:type="dxa" w:w="75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Medicare FFS FY2024: ~10.9% expedited denial rate. Higher expedited denial rate signals higher CMS-0057-F audit scrutiny. Flag counties simulating &gt;15% expedited denial as outliers.</w:t>
            </w:r>
          </w:p>
        </w:tc>
      </w:tr>
      <w:tr>
        <w:tc>
          <w:tcPr>
            <w:tcW w:type="dxa" w:w="1800"/>
            <w:tcBorders>
              <w:top w:val="single" w:color="D1D5DB" w:sz="4"/>
              <w:left w:val="single" w:color="D1D5DB" w:sz="4"/>
              <w:bottom w:val="single" w:color="D1D5DB" w:sz="4"/>
              <w:right w:val="single" w:color="D1D5DB" w:sz="4"/>
            </w:tcBorders>
            <w:shd w:fill="F5F4FE" w:val="clear"/>
            <w:tcMar>
              <w:top w:type="dxa" w:w="60"/>
              <w:left w:type="dxa" w:w="100"/>
              <w:bottom w:type="dxa" w:w="60"/>
              <w:right w:type="dxa" w:w="100"/>
            </w:tcMar>
          </w:tcPr>
          <w:p>
            <w:r>
              <w:rPr>
                <w:rFonts w:ascii="Arial" w:cs="Arial" w:eastAsia="Arial" w:hAnsi="Arial"/>
                <w:b/>
                <w:bCs/>
                <w:i w:val="false"/>
                <w:iCs w:val="false"/>
                <w:color w:val="6B7280"/>
                <w:sz w:val="16"/>
                <w:szCs w:val="16"/>
              </w:rPr>
              <w:t xml:space="preserve">Reporting template</w:t>
            </w:r>
          </w:p>
        </w:tc>
        <w:tc>
          <w:tcPr>
            <w:tcW w:type="dxa" w:w="75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Use to structure simulation output format. Source: </w:t>
            </w:r>
            <w:hyperlink w:history="1" r:id="rIdf-sxraokttmd6jrw52n5h">
              <w:r>
                <w:rPr>
                  <w:rStyle w:val="Hyperlink"/>
                  <w:rFonts w:ascii="Arial" w:cs="Arial" w:eastAsia="Arial" w:hAnsi="Arial"/>
                  <w:sz w:val="17"/>
                  <w:szCs w:val="17"/>
                </w:rPr>
                <w:t xml:space="preserve">CMS PA Metrics Reporting Overview &amp; Template PDF</w:t>
              </w:r>
            </w:hyperlink>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E8E4FB" w:val="clear"/>
            <w:tcMar>
              <w:top w:type="dxa" w:w="80"/>
              <w:left w:type="dxa" w:w="80"/>
              <w:bottom w:type="dxa" w:w="80"/>
              <w:right w:type="dxa" w:w="80"/>
            </w:tcMar>
          </w:tcPr>
          <w:p/>
        </w:tc>
        <w:tc>
          <w:tcPr>
            <w:tcW w:type="dxa" w:w="9200"/>
            <w:tcBorders>
              <w:top w:val="none" w:color="FFFFFF" w:sz="0"/>
              <w:left w:val="single" w:color="534AB7" w:sz="12"/>
              <w:bottom w:val="none" w:color="FFFFFF" w:sz="0"/>
              <w:right w:val="none" w:color="FFFFFF" w:sz="0"/>
            </w:tcBorders>
            <w:shd w:fill="F5F4FE" w:val="clear"/>
            <w:tcMar>
              <w:top w:type="dxa" w:w="80"/>
              <w:left w:type="dxa" w:w="140"/>
              <w:bottom w:type="dxa" w:w="80"/>
              <w:right w:type="dxa" w:w="120"/>
            </w:tcMar>
          </w:tcPr>
          <w:p>
            <w:pPr>
              <w:spacing w:after="40" w:before="0"/>
            </w:pPr>
            <w:r>
              <w:rPr>
                <w:rFonts w:ascii="Arial" w:cs="Arial" w:eastAsia="Arial" w:hAnsi="Arial"/>
                <w:b/>
                <w:bCs/>
                <w:i w:val="false"/>
                <w:iCs w:val="false"/>
                <w:color w:val="534AB7"/>
                <w:sz w:val="17"/>
                <w:szCs w:val="17"/>
              </w:rPr>
              <w:t xml:space="preserve">Module C — key finding target</w:t>
            </w:r>
          </w:p>
          <w:p>
            <w:pPr>
              <w:spacing w:after="0" w:before="0"/>
            </w:pPr>
            <w:r>
              <w:rPr>
                <w:rFonts w:ascii="Arial" w:cs="Arial" w:eastAsia="Arial" w:hAnsi="Arial"/>
                <w:b w:val="false"/>
                <w:bCs w:val="false"/>
                <w:i w:val="false"/>
                <w:iCs w:val="false"/>
                <w:color w:val="1F2937"/>
                <w:sz w:val="18"/>
                <w:szCs w:val="18"/>
              </w:rPr>
              <w:t xml:space="preserve">MSSP-aligned populations show slightly elevated simulated denial rates vs. Medicare FFS (8.6% vs. 7.7%), consistent with higher specialty utilization in ACO populations. Field 4 (appeal approval rate) shows the largest gap vs. MA benchmarks — 61% vs. &gt;80% — suggesting ACO-adjacent populations face more defensible initial denials, or lower propensity to appeal. Field 5 (extended review) has no public benchmark — this is an analytical gap in the CMS-0057-F public reporting schema itself, not a data limitation of this simulation. Document prominently in README.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FCEBEB" w:val="clear"/>
            <w:tcMar>
              <w:top w:type="dxa" w:w="80"/>
              <w:left w:type="dxa" w:w="80"/>
              <w:bottom w:type="dxa" w:w="80"/>
              <w:right w:type="dxa" w:w="80"/>
            </w:tcMar>
          </w:tcPr>
          <w:p/>
        </w:tc>
        <w:tc>
          <w:tcPr>
            <w:tcW w:type="dxa" w:w="9200"/>
            <w:tcBorders>
              <w:top w:val="none" w:color="FFFFFF" w:sz="0"/>
              <w:left w:val="single" w:color="A32D2D" w:sz="12"/>
              <w:bottom w:val="none" w:color="FFFFFF" w:sz="0"/>
              <w:right w:val="none" w:color="FFFFFF" w:sz="0"/>
            </w:tcBorders>
            <w:shd w:fill="FFF5F5" w:val="clear"/>
            <w:tcMar>
              <w:top w:type="dxa" w:w="80"/>
              <w:left w:type="dxa" w:w="140"/>
              <w:bottom w:type="dxa" w:w="80"/>
              <w:right w:type="dxa" w:w="120"/>
            </w:tcMar>
          </w:tcPr>
          <w:p>
            <w:pPr>
              <w:spacing w:after="40" w:before="0"/>
            </w:pPr>
            <w:r>
              <w:rPr>
                <w:rFonts w:ascii="Arial" w:cs="Arial" w:eastAsia="Arial" w:hAnsi="Arial"/>
                <w:b/>
                <w:bCs/>
                <w:i w:val="false"/>
                <w:iCs w:val="false"/>
                <w:color w:val="A32D2D"/>
                <w:sz w:val="17"/>
                <w:szCs w:val="17"/>
              </w:rPr>
              <w:t xml:space="preserve">Changes from v4 in this module</w:t>
            </w:r>
          </w:p>
          <w:p>
            <w:pPr>
              <w:pStyle w:val="ListParagraph"/>
              <w:numPr>
                <w:ilvl w:val="0"/>
                <w:numId w:val="2"/>
              </w:numPr>
              <w:spacing w:after="30" w:before="30"/>
            </w:pPr>
            <w:r>
              <w:rPr>
                <w:rFonts w:ascii="Arial" w:cs="Arial" w:eastAsia="Arial" w:hAnsi="Arial"/>
                <w:b w:val="false"/>
                <w:bCs w:val="false"/>
                <w:i w:val="false"/>
                <w:iCs w:val="false"/>
                <w:color w:val="1F2937"/>
                <w:sz w:val="17"/>
                <w:szCs w:val="17"/>
              </w:rPr>
              <w:t xml:space="preserve">Field 4 denominator error explicitly flagged — common implementation error is dividing overturn count by total PA requests instead of total denials, understating overturn rate ~12x</w:t>
            </w:r>
          </w:p>
          <w:p>
            <w:pPr>
              <w:pStyle w:val="ListParagraph"/>
              <w:numPr>
                <w:ilvl w:val="0"/>
                <w:numId w:val="2"/>
              </w:numPr>
              <w:spacing w:after="30" w:before="30"/>
            </w:pPr>
            <w:r>
              <w:rPr>
                <w:rFonts w:ascii="Arial" w:cs="Arial" w:eastAsia="Arial" w:hAnsi="Arial"/>
                <w:b w:val="false"/>
                <w:bCs w:val="false"/>
                <w:i w:val="false"/>
                <w:iCs w:val="false"/>
                <w:color w:val="1F2937"/>
                <w:sz w:val="17"/>
                <w:szCs w:val="17"/>
              </w:rPr>
              <w:t xml:space="preserve">Field 4 relabeled as 'national benchmark constant applied uniformly' not a county-level simulation</w:t>
            </w:r>
          </w:p>
          <w:p>
            <w:pPr>
              <w:pStyle w:val="ListParagraph"/>
              <w:numPr>
                <w:ilvl w:val="0"/>
                <w:numId w:val="2"/>
              </w:numPr>
              <w:spacing w:after="30" w:before="30"/>
            </w:pPr>
            <w:r>
              <w:rPr>
                <w:rFonts w:ascii="Arial" w:cs="Arial" w:eastAsia="Arial" w:hAnsi="Arial"/>
                <w:b w:val="false"/>
                <w:bCs w:val="false"/>
                <w:i w:val="false"/>
                <w:iCs w:val="false"/>
                <w:color w:val="1F2937"/>
                <w:sz w:val="17"/>
                <w:szCs w:val="17"/>
              </w:rPr>
              <w:t xml:space="preserve">Field 5 relabeled as 'assumed constant — no public benchmark' not simulated from MSSP data</w:t>
            </w:r>
          </w:p>
          <w:p>
            <w:pPr>
              <w:pStyle w:val="ListParagraph"/>
              <w:numPr>
                <w:ilvl w:val="0"/>
                <w:numId w:val="2"/>
              </w:numPr>
              <w:spacing w:after="30" w:before="30"/>
            </w:pPr>
            <w:r>
              <w:rPr>
                <w:rFonts w:ascii="Arial" w:cs="Arial" w:eastAsia="Arial" w:hAnsi="Arial"/>
                <w:b w:val="false"/>
                <w:bCs w:val="false"/>
                <w:i w:val="false"/>
                <w:iCs w:val="false"/>
                <w:color w:val="1F2937"/>
                <w:sz w:val="17"/>
                <w:szCs w:val="17"/>
              </w:rPr>
              <w:t xml:space="preserve">Source type legend added (Derived / External / Constant / Simulated) for each field</w:t>
            </w:r>
          </w:p>
          <w:p>
            <w:pPr>
              <w:pStyle w:val="ListParagraph"/>
              <w:numPr>
                <w:ilvl w:val="0"/>
                <w:numId w:val="2"/>
              </w:numPr>
              <w:spacing w:after="30" w:before="30"/>
            </w:pPr>
            <w:r>
              <w:rPr>
                <w:rFonts w:ascii="Arial" w:cs="Arial" w:eastAsia="Arial" w:hAnsi="Arial"/>
                <w:b w:val="false"/>
                <w:bCs w:val="false"/>
                <w:i w:val="false"/>
                <w:iCs w:val="false"/>
                <w:color w:val="1F2937"/>
                <w:sz w:val="17"/>
                <w:szCs w:val="17"/>
              </w:rPr>
              <w:t xml:space="preserve">pa_metrics_schema.py validators for fields 2+3 and 6+7 summing to 100% explicitly specified</w:t>
            </w:r>
          </w:p>
          <w:p>
            <w:pPr>
              <w:pStyle w:val="ListParagraph"/>
              <w:numPr>
                <w:ilvl w:val="0"/>
                <w:numId w:val="2"/>
              </w:numPr>
              <w:spacing w:after="30" w:before="30"/>
            </w:pPr>
            <w:r>
              <w:rPr>
                <w:rFonts w:ascii="Arial" w:cs="Arial" w:eastAsia="Arial" w:hAnsi="Arial"/>
                <w:b w:val="false"/>
                <w:bCs w:val="false"/>
                <w:i w:val="false"/>
                <w:iCs w:val="false"/>
                <w:color w:val="1F2937"/>
                <w:sz w:val="17"/>
                <w:szCs w:val="17"/>
              </w:rPr>
              <w:t xml:space="preserve">Module D removed from build sequence — C is now the final analytical module</w:t>
            </w:r>
          </w:p>
        </w:tc>
      </w:tr>
    </w:tbl>
    <w:p>
      <w:pPr>
        <w:spacing w:after="200" w:before="200"/>
      </w:pPr>
    </w:p>
    <w:p>
      <w:pPr>
        <w:pBdr>
          <w:bottom w:val="single" w:color="D1D5DB" w:sz="4" w:space="1"/>
        </w:pBdr>
        <w:spacing w:after="180" w:before="180"/>
      </w:pPr>
    </w:p>
    <w:p>
      <w:pPr>
        <w:pStyle w:val="Heading1"/>
        <w:spacing w:after="140" w:before="320"/>
      </w:pPr>
      <w:r>
        <w:rPr>
          <w:rFonts w:ascii="Arial" w:cs="Arial" w:eastAsia="Arial" w:hAnsi="Arial"/>
          <w:b/>
          <w:bCs/>
          <w:color w:val="1F2937"/>
          <w:sz w:val="36"/>
          <w:szCs w:val="36"/>
        </w:rPr>
        <w:t xml:space="preserve">05  Consolidated benchmark sources — Modules A, B,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c>
          <w:tcPr>
            <w:tcW w:type="dxa" w:w="140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Module</w:t>
            </w:r>
          </w:p>
        </w:tc>
        <w:tc>
          <w:tcPr>
            <w:tcW w:type="dxa" w:w="220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Benchmark source</w:t>
            </w:r>
          </w:p>
        </w:tc>
        <w:tc>
          <w:tcPr>
            <w:tcW w:type="dxa" w:w="240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URL / location</w:t>
            </w:r>
          </w:p>
        </w:tc>
        <w:tc>
          <w:tcPr>
            <w:tcW w:type="dxa" w:w="336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What it validates</w:t>
            </w:r>
          </w:p>
        </w:tc>
      </w:tr>
      <w:tr>
        <w:tc>
          <w:tcPr>
            <w:tcW w:type="dxa" w:w="1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All modules</w:t>
            </w:r>
          </w:p>
        </w:tc>
        <w:tc>
          <w:tcPr>
            <w:tcW w:type="dxa" w:w="22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CMS MSSP PY Financial &amp; Quality Results PUF</w:t>
            </w:r>
          </w:p>
        </w:tc>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hyperlink w:history="1" r:id="rIdqyzaj_5slbef3pdpdyg2b">
              <w:r>
                <w:rPr>
                  <w:rStyle w:val="Hyperlink"/>
                  <w:rFonts w:ascii="Arial" w:cs="Arial" w:eastAsia="Arial" w:hAnsi="Arial"/>
                  <w:sz w:val="17"/>
                  <w:szCs w:val="17"/>
                </w:rPr>
                <w:t xml:space="preserve">data.cms.gov/medicare-shared-savings-program</w:t>
              </w:r>
            </w:hyperlink>
          </w:p>
        </w:tc>
        <w:tc>
          <w:tcPr>
            <w:tcW w:type="dxa" w:w="33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Ground truth for ACO-level savings, expenditure, and quality scores by county</w:t>
            </w:r>
          </w:p>
        </w:tc>
      </w:tr>
      <w:tr>
        <w:tc>
          <w:tcPr>
            <w:tcW w:type="dxa" w:w="14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Module A</w:t>
            </w:r>
          </w:p>
        </w:tc>
        <w:tc>
          <w:tcPr>
            <w:tcW w:type="dxa" w:w="22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CMS RADV Checklist PDF</w:t>
            </w:r>
          </w:p>
        </w:tc>
        <w:tc>
          <w:tcPr>
            <w:tcW w:type="dxa" w:w="24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hyperlink w:history="1" r:id="rIdu_y5rmda-ixq6yi6xf0ub">
              <w:r>
                <w:rPr>
                  <w:rStyle w:val="Hyperlink"/>
                  <w:rFonts w:ascii="Arial" w:cs="Arial" w:eastAsia="Arial" w:hAnsi="Arial"/>
                  <w:sz w:val="17"/>
                  <w:szCs w:val="17"/>
                </w:rPr>
                <w:t xml:space="preserve">cms.gov RADV Checklist PDF</w:t>
              </w:r>
            </w:hyperlink>
          </w:p>
        </w:tc>
        <w:tc>
          <w:tcPr>
            <w:tcW w:type="dxa" w:w="33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MEAT criteria and HCC documentation standards used in actual audits</w:t>
            </w:r>
          </w:p>
        </w:tc>
      </w:tr>
      <w:tr>
        <w:tc>
          <w:tcPr>
            <w:tcW w:type="dxa" w:w="1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Module A</w:t>
            </w:r>
          </w:p>
        </w:tc>
        <w:tc>
          <w:tcPr>
            <w:tcW w:type="dxa" w:w="22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PY 2019 RADV Audit Methods &amp; Instructions</w:t>
            </w:r>
          </w:p>
        </w:tc>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hyperlink w:history="1" r:id="rIdwg0bukdkhwxe1mfmvipsl">
              <w:r>
                <w:rPr>
                  <w:rStyle w:val="Hyperlink"/>
                  <w:rFonts w:ascii="Arial" w:cs="Arial" w:eastAsia="Arial" w:hAnsi="Arial"/>
                  <w:sz w:val="17"/>
                  <w:szCs w:val="17"/>
                </w:rPr>
                <w:t xml:space="preserve">CMS RADV Program Hub</w:t>
              </w:r>
            </w:hyperlink>
          </w:p>
        </w:tc>
        <w:tc>
          <w:tcPr>
            <w:tcW w:type="dxa" w:w="33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Current active audit methodology; sampling and extrapolation logic</w:t>
            </w:r>
          </w:p>
        </w:tc>
      </w:tr>
      <w:tr>
        <w:tc>
          <w:tcPr>
            <w:tcW w:type="dxa" w:w="14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Module A</w:t>
            </w:r>
          </w:p>
        </w:tc>
        <w:tc>
          <w:tcPr>
            <w:tcW w:type="dxa" w:w="22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CMS Advance Notice Archive — Table VIII-1 (V28) and VI-1 (V24)</w:t>
            </w:r>
          </w:p>
        </w:tc>
        <w:tc>
          <w:tcPr>
            <w:tcW w:type="dxa" w:w="24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hyperlink w:history="1" r:id="rIddwk_468bxvyjnuhnpayqq">
              <w:r>
                <w:rPr>
                  <w:rStyle w:val="Hyperlink"/>
                  <w:rFonts w:ascii="Arial" w:cs="Arial" w:eastAsia="Arial" w:hAnsi="Arial"/>
                  <w:sz w:val="17"/>
                  <w:szCs w:val="17"/>
                </w:rPr>
                <w:t xml:space="preserve">CMS MA Capitation Rates Archive</w:t>
              </w:r>
            </w:hyperlink>
          </w:p>
        </w:tc>
        <w:tc>
          <w:tcPr>
            <w:tcW w:type="dxa" w:w="33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V28 and V24 HCC coefficient tables for V28 coding exposure index calculation</w:t>
            </w:r>
          </w:p>
        </w:tc>
      </w:tr>
      <w:tr>
        <w:tc>
          <w:tcPr>
            <w:tcW w:type="dxa" w:w="1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Module B</w:t>
            </w:r>
          </w:p>
        </w:tc>
        <w:tc>
          <w:tcPr>
            <w:tcW w:type="dxa" w:w="22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MSSP PY Financial Results PUF</w:t>
            </w:r>
          </w:p>
        </w:tc>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hyperlink w:history="1" r:id="rIdhay1_3ab5ah47ifztqcra">
              <w:r>
                <w:rPr>
                  <w:rStyle w:val="Hyperlink"/>
                  <w:rFonts w:ascii="Arial" w:cs="Arial" w:eastAsia="Arial" w:hAnsi="Arial"/>
                  <w:sz w:val="17"/>
                  <w:szCs w:val="17"/>
                </w:rPr>
                <w:t xml:space="preserve">data.cms.gov/medicare-shared-savings-program</w:t>
              </w:r>
            </w:hyperlink>
          </w:p>
        </w:tc>
        <w:tc>
          <w:tcPr>
            <w:tcW w:type="dxa" w:w="33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Actual savings/loss by ACO — validates simulation direction and magnitude</w:t>
            </w:r>
          </w:p>
        </w:tc>
      </w:tr>
      <w:tr>
        <w:tc>
          <w:tcPr>
            <w:tcW w:type="dxa" w:w="14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Module B</w:t>
            </w:r>
          </w:p>
        </w:tc>
        <w:tc>
          <w:tcPr>
            <w:tcW w:type="dxa" w:w="22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CMMI TEAM Model specification</w:t>
            </w:r>
          </w:p>
        </w:tc>
        <w:tc>
          <w:tcPr>
            <w:tcW w:type="dxa" w:w="24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hyperlink w:history="1" r:id="rId9matiaqldk3nvvzdtjwdc">
              <w:r>
                <w:rPr>
                  <w:rStyle w:val="Hyperlink"/>
                  <w:rFonts w:ascii="Arial" w:cs="Arial" w:eastAsia="Arial" w:hAnsi="Arial"/>
                  <w:sz w:val="17"/>
                  <w:szCs w:val="17"/>
                </w:rPr>
                <w:t xml:space="preserve">cms.gov/priorities/innovation/innovation-models/team-model</w:t>
              </w:r>
            </w:hyperlink>
          </w:p>
        </w:tc>
        <w:tc>
          <w:tcPr>
            <w:tcW w:type="dxa" w:w="33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Episode target prices for 5 surgical procedures; financial risk design</w:t>
            </w:r>
          </w:p>
        </w:tc>
      </w:tr>
      <w:tr>
        <w:tc>
          <w:tcPr>
            <w:tcW w:type="dxa" w:w="1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Module B</w:t>
            </w:r>
          </w:p>
        </w:tc>
        <w:tc>
          <w:tcPr>
            <w:tcW w:type="dxa" w:w="22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FY2026 IPPS Final Rule — TEAM section</w:t>
            </w:r>
          </w:p>
        </w:tc>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hyperlink w:history="1" r:id="rIdsayw5jx2bz00jhr2kqloi">
              <w:r>
                <w:rPr>
                  <w:rStyle w:val="Hyperlink"/>
                  <w:rFonts w:ascii="Arial" w:cs="Arial" w:eastAsia="Arial" w:hAnsi="Arial"/>
                  <w:sz w:val="17"/>
                  <w:szCs w:val="17"/>
                </w:rPr>
                <w:t xml:space="preserve">CMS IPPS final rule home page</w:t>
              </w:r>
            </w:hyperlink>
          </w:p>
        </w:tc>
        <w:tc>
          <w:tcPr>
            <w:tcW w:type="dxa" w:w="33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Regulatory basis for TEAM financial methodology; mandatory CBSA list</w:t>
            </w:r>
          </w:p>
        </w:tc>
      </w:tr>
      <w:tr>
        <w:tc>
          <w:tcPr>
            <w:tcW w:type="dxa" w:w="14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Module C</w:t>
            </w:r>
          </w:p>
        </w:tc>
        <w:tc>
          <w:tcPr>
            <w:tcW w:type="dxa" w:w="22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CMS PA API FAQ — 7 required metric fields</w:t>
            </w:r>
          </w:p>
        </w:tc>
        <w:tc>
          <w:tcPr>
            <w:tcW w:type="dxa" w:w="24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hyperlink w:history="1" r:id="rIdd-xs33wv5mdhx8shxqg5o">
              <w:r>
                <w:rPr>
                  <w:rStyle w:val="Hyperlink"/>
                  <w:rFonts w:ascii="Arial" w:cs="Arial" w:eastAsia="Arial" w:hAnsi="Arial"/>
                  <w:sz w:val="17"/>
                  <w:szCs w:val="17"/>
                </w:rPr>
                <w:t xml:space="preserve">CMS PA API FAQ</w:t>
              </w:r>
            </w:hyperlink>
          </w:p>
        </w:tc>
        <w:tc>
          <w:tcPr>
            <w:tcW w:type="dxa" w:w="33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Exact required metric fields, cadence (March 31 annually), and metric schema</w:t>
            </w:r>
          </w:p>
        </w:tc>
      </w:tr>
      <w:tr>
        <w:tc>
          <w:tcPr>
            <w:tcW w:type="dxa" w:w="1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Module C</w:t>
            </w:r>
          </w:p>
        </w:tc>
        <w:tc>
          <w:tcPr>
            <w:tcW w:type="dxa" w:w="22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CMS PA Metrics Reporting Template PDF</w:t>
            </w:r>
          </w:p>
        </w:tc>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hyperlink w:history="1" r:id="rIdhbjnfzm0xpmdjcxhzwahe">
              <w:r>
                <w:rPr>
                  <w:rStyle w:val="Hyperlink"/>
                  <w:rFonts w:ascii="Arial" w:cs="Arial" w:eastAsia="Arial" w:hAnsi="Arial"/>
                  <w:sz w:val="17"/>
                  <w:szCs w:val="17"/>
                </w:rPr>
                <w:t xml:space="preserve">CMS PA Metrics Reporting Template PDF</w:t>
              </w:r>
            </w:hyperlink>
          </w:p>
        </w:tc>
        <w:tc>
          <w:tcPr>
            <w:tcW w:type="dxa" w:w="33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Official template format payers must follow — use to structure simulation output</w:t>
            </w:r>
          </w:p>
        </w:tc>
      </w:tr>
      <w:tr>
        <w:tc>
          <w:tcPr>
            <w:tcW w:type="dxa" w:w="14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Module C</w:t>
            </w:r>
          </w:p>
        </w:tc>
        <w:tc>
          <w:tcPr>
            <w:tcW w:type="dxa" w:w="22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Medicare FFS PA &amp; Pre-Claim Review Stats FY2024</w:t>
            </w:r>
          </w:p>
        </w:tc>
        <w:tc>
          <w:tcPr>
            <w:tcW w:type="dxa" w:w="24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hyperlink w:history="1" r:id="rIdqwkuvgznbibuyzv2yrkpa">
              <w:r>
                <w:rPr>
                  <w:rStyle w:val="Hyperlink"/>
                  <w:rFonts w:ascii="Arial" w:cs="Arial" w:eastAsia="Arial" w:hAnsi="Arial"/>
                  <w:sz w:val="17"/>
                  <w:szCs w:val="17"/>
                </w:rPr>
                <w:t xml:space="preserve">CMS FFS PA Stats FY2024 PDF</w:t>
              </w:r>
            </w:hyperlink>
          </w:p>
        </w:tc>
        <w:tc>
          <w:tcPr>
            <w:tcW w:type="dxa" w:w="33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FFS approval/denial/appeal rates — primary reference range for simulation validation</w:t>
            </w:r>
          </w:p>
        </w:tc>
      </w:tr>
      <w:tr>
        <w:tc>
          <w:tcPr>
            <w:tcW w:type="dxa" w:w="1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Module C</w:t>
            </w:r>
          </w:p>
        </w:tc>
        <w:tc>
          <w:tcPr>
            <w:tcW w:type="dxa" w:w="22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KFF MA Prior Authorization Data 2024</w:t>
            </w:r>
          </w:p>
        </w:tc>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hyperlink w:history="1" r:id="rIdv7c_pu5t2uxd_ddxwzd3l">
              <w:r>
                <w:rPr>
                  <w:rStyle w:val="Hyperlink"/>
                  <w:rFonts w:ascii="Arial" w:cs="Arial" w:eastAsia="Arial" w:hAnsi="Arial"/>
                  <w:sz w:val="17"/>
                  <w:szCs w:val="17"/>
                </w:rPr>
                <w:t xml:space="preserve">kff.org — Medicare Advantage PA 2024 Report</w:t>
              </w:r>
            </w:hyperlink>
          </w:p>
        </w:tc>
        <w:tc>
          <w:tcPr>
            <w:tcW w:type="dxa" w:w="33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MA denial rates (~7.7%), appeal overturn rates (~80%) — industry cross-check</w:t>
            </w:r>
          </w:p>
        </w:tc>
      </w:tr>
    </w:tbl>
    <w:p>
      <w:pPr>
        <w:spacing w:after="200" w:before="200"/>
      </w:pPr>
    </w:p>
    <w:p>
      <w:pPr>
        <w:pBdr>
          <w:bottom w:val="single" w:color="D1D5DB" w:sz="4" w:space="1"/>
        </w:pBdr>
        <w:spacing w:after="180" w:before="180"/>
      </w:pPr>
    </w:p>
    <w:p>
      <w:pPr>
        <w:pStyle w:val="Heading1"/>
        <w:spacing w:after="140" w:before="320"/>
      </w:pPr>
      <w:r>
        <w:rPr>
          <w:rFonts w:ascii="Arial" w:cs="Arial" w:eastAsia="Arial" w:hAnsi="Arial"/>
          <w:b/>
          <w:bCs/>
          <w:color w:val="1F2937"/>
          <w:sz w:val="36"/>
          <w:szCs w:val="36"/>
        </w:rPr>
        <w:t xml:space="preserve">06  Deliverable format — Streamlit app</w:t>
      </w:r>
    </w:p>
    <w:p>
      <w:pPr>
        <w:spacing w:after="100" w:before="0"/>
        <w:jc w:val="left"/>
      </w:pPr>
      <w:r>
        <w:rPr>
          <w:rFonts w:ascii="Arial" w:cs="Arial" w:eastAsia="Arial" w:hAnsi="Arial"/>
          <w:b w:val="false"/>
          <w:bCs w:val="false"/>
          <w:i w:val="false"/>
          <w:iCs w:val="false"/>
          <w:color w:val="1F2937"/>
          <w:sz w:val="19"/>
          <w:szCs w:val="19"/>
        </w:rPr>
        <w:t xml:space="preserve">Streamlit app deployed on Streamlit Community Cloud (free, public URL, GitHub-connected). Three tabs — one per module. Sidebar filters are tab-aware. Each tab ends with a one-paragraph key finding callout in editorial voice. Live URL goes into the GitHub README, LinkedIn featured section, and cold outreach emails.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400"/>
        <w:gridCol w:w="2000"/>
        <w:gridCol w:w="2460"/>
      </w:tblGrid>
      <w:tr>
        <w:tc>
          <w:tcPr>
            <w:tcW w:type="dxa" w:w="150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Tab</w:t>
            </w:r>
          </w:p>
        </w:tc>
        <w:tc>
          <w:tcPr>
            <w:tcW w:type="dxa" w:w="150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Module</w:t>
            </w:r>
          </w:p>
        </w:tc>
        <w:tc>
          <w:tcPr>
            <w:tcW w:type="dxa" w:w="240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Primary chart</w:t>
            </w:r>
          </w:p>
        </w:tc>
        <w:tc>
          <w:tcPr>
            <w:tcW w:type="dxa" w:w="200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Sidebar filter</w:t>
            </w:r>
          </w:p>
        </w:tc>
        <w:tc>
          <w:tcPr>
            <w:tcW w:type="dxa" w:w="246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Key finding callout</w:t>
            </w:r>
          </w:p>
        </w:tc>
      </w:tr>
      <w:tr>
        <w:tc>
          <w:tcPr>
            <w:tcW w:type="dxa" w:w="15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HCC risk flags</w:t>
            </w:r>
          </w:p>
        </w:tc>
        <w:tc>
          <w:tcPr>
            <w:tcW w:type="dxa" w:w="15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Module A — Track 2</w:t>
            </w:r>
          </w:p>
        </w:tc>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Risk score YoY delta distribution + county scatter (risk delta vs. efficiency ratio in $/unit) + OC-cut stability line chart for top-flagged counties</w:t>
            </w:r>
          </w:p>
        </w:tc>
        <w:tc>
          <w:tcPr>
            <w:tcW w:type="dxa" w:w="20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State, enrollment type, data cut, YoY delta threshold slider</w:t>
            </w:r>
          </w:p>
        </w:tc>
        <w:tc>
          <w:tcPr>
            <w:tcW w:type="dxa" w:w="24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Counties with growth &gt;10% + expenditure above trend = RADV exposure pattern; ESRD counties with positive V28 delta = CKD coding specificity opportunity</w:t>
            </w:r>
          </w:p>
        </w:tc>
      </w:tr>
      <w:tr>
        <w:tc>
          <w:tcPr>
            <w:tcW w:type="dxa" w:w="15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Shared savings model</w:t>
            </w:r>
          </w:p>
        </w:tc>
        <w:tc>
          <w:tcPr>
            <w:tcW w:type="dxa" w:w="15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Module B — Track 3</w:t>
            </w:r>
          </w:p>
        </w:tc>
        <w:tc>
          <w:tcPr>
            <w:tcW w:type="dxa" w:w="24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ACO performance distribution (savings/loss histogram) + benchmark vs. actual by RAF quartile (V24 and V28 both shown) + V28 version skew bar chart by enrollment type</w:t>
            </w:r>
          </w:p>
        </w:tc>
        <w:tc>
          <w:tcPr>
            <w:tcW w:type="dxa" w:w="20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Enrollment type, MSSP track, RAF band, V28 adjustment toggle</w:t>
            </w:r>
          </w:p>
        </w:tc>
        <w:tc>
          <w:tcPr>
            <w:tcW w:type="dxa" w:w="24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High-RAF ACOs systematically exceed benchmark — benchmark underweights severity; V28 skew largest at highest RAF bands where financial pressure already highest</w:t>
            </w:r>
          </w:p>
        </w:tc>
      </w:tr>
      <w:tr>
        <w:tc>
          <w:tcPr>
            <w:tcW w:type="dxa" w:w="15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PA metrics simulation</w:t>
            </w:r>
          </w:p>
        </w:tc>
        <w:tc>
          <w:tcPr>
            <w:tcW w:type="dxa" w:w="15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Module C — Track 1</w:t>
            </w:r>
          </w:p>
        </w:tc>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Stacked 100% bar by service type (fields 2+3) + all 7 fields table with source type badges (derived/external/constant/simulated)</w:t>
            </w:r>
          </w:p>
        </w:tc>
        <w:tc>
          <w:tcPr>
            <w:tcW w:type="dxa" w:w="20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Service type, state, OC data cut</w:t>
            </w:r>
          </w:p>
        </w:tc>
        <w:tc>
          <w:tcPr>
            <w:tcW w:type="dxa" w:w="24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Slightly elevated denial rates vs. FFS in MSSP-aligned populations; Field 5 has no public benchmark — analytical gap in CMS-0057-F public reporting schema itself</w:t>
            </w:r>
          </w:p>
        </w:tc>
      </w:tr>
    </w:tbl>
    <w:p>
      <w:pPr>
        <w:spacing w:after="80" w:before="80"/>
      </w:pPr>
    </w:p>
    <w:p>
      <w:pPr>
        <w:pStyle w:val="Heading3"/>
        <w:spacing w:after="70" w:before="180"/>
      </w:pPr>
      <w:r>
        <w:rPr>
          <w:rFonts w:ascii="Arial" w:cs="Arial" w:eastAsia="Arial" w:hAnsi="Arial"/>
          <w:b/>
          <w:bCs/>
          <w:color w:val="0F6E56"/>
          <w:sz w:val="22"/>
          <w:szCs w:val="22"/>
        </w:rPr>
        <w:t xml:space="preserve">Design principles</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Use Streamlit default theme. No custom CSS frameworks. The analysis is the signal; styling is noise.</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Charts: Plotly Express with minimal configuration. Dollar-format Y-axis where units are $/beneficiary. Percentage-format where units are rates. Never use 0–100 'score' Y-axis when the underlying unit is dollars.</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Stacked bar charts: enforce sum-to-100% in data layer, not chart layer. Chart.js and Plotly both silently render gaps when data doesn't sum — validate upstream.</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All charts use lazy initialization if building in HTML — Chart.js measures canvas dimensions on init; display:none parent = 0x0 canvas. Use requestAnimationFrame after panel becomes visible.</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Source type badges on every PA metrics field row. This is the documentation layer that makes the simulation intellectually honest.</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Key finding callout: one paragraph per tab, in prose. This is your editorial voice — the interpretation a chart alone cannot provide.</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Data source footnote on every tab linking to the specific CMS PUF download page. Shows intellectual honesty and reproducibility.</w:t>
      </w:r>
    </w:p>
    <w:p>
      <w:pPr>
        <w:pStyle w:val="ListParagraph"/>
        <w:numPr>
          <w:ilvl w:val="0"/>
          <w:numId w:val="2"/>
        </w:numPr>
        <w:spacing w:after="40" w:before="40"/>
      </w:pPr>
      <w:r>
        <w:rPr>
          <w:rFonts w:ascii="Arial" w:cs="Arial" w:eastAsia="Arial" w:hAnsi="Arial"/>
          <w:b w:val="false"/>
          <w:bCs w:val="false"/>
          <w:i w:val="false"/>
          <w:iCs w:val="false"/>
          <w:color w:val="1F2937"/>
          <w:sz w:val="19"/>
          <w:szCs w:val="19"/>
        </w:rPr>
        <w:t xml:space="preserve">README links to the live Streamlit URL in the first sentence.</w:t>
      </w:r>
    </w:p>
    <w:p>
      <w:pPr>
        <w:spacing w:after="200" w:before="200"/>
      </w:pPr>
    </w:p>
    <w:p>
      <w:pPr>
        <w:pBdr>
          <w:bottom w:val="single" w:color="D1D5DB" w:sz="4" w:space="1"/>
        </w:pBdr>
        <w:spacing w:after="180" w:before="180"/>
      </w:pPr>
    </w:p>
    <w:p>
      <w:pPr>
        <w:pStyle w:val="Heading1"/>
        <w:spacing w:after="140" w:before="320"/>
      </w:pPr>
      <w:r>
        <w:rPr>
          <w:rFonts w:ascii="Arial" w:cs="Arial" w:eastAsia="Arial" w:hAnsi="Arial"/>
          <w:b/>
          <w:bCs/>
          <w:color w:val="1F2937"/>
          <w:sz w:val="36"/>
          <w:szCs w:val="36"/>
        </w:rPr>
        <w:t xml:space="preserve">07  Next steps — sequenced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400"/>
        <w:gridCol w:w="3160"/>
      </w:tblGrid>
      <w:tr>
        <w:tc>
          <w:tcPr>
            <w:tcW w:type="dxa" w:w="120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Step</w:t>
            </w:r>
          </w:p>
        </w:tc>
        <w:tc>
          <w:tcPr>
            <w:tcW w:type="dxa" w:w="260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Action</w:t>
            </w:r>
          </w:p>
        </w:tc>
        <w:tc>
          <w:tcPr>
            <w:tcW w:type="dxa" w:w="240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Output</w:t>
            </w:r>
          </w:p>
        </w:tc>
        <w:tc>
          <w:tcPr>
            <w:tcW w:type="dxa" w:w="3160"/>
            <w:tcBorders>
              <w:top w:val="single" w:color="D1D5DB" w:sz="4"/>
              <w:left w:val="single" w:color="D1D5DB" w:sz="4"/>
              <w:bottom w:val="single" w:color="D1D5DB" w:sz="4"/>
              <w:right w:val="single" w:color="D1D5DB" w:sz="4"/>
            </w:tcBorders>
            <w:shd w:fill="E8E4FB" w:val="clear"/>
            <w:tcMar>
              <w:top w:type="dxa" w:w="60"/>
              <w:left w:type="dxa" w:w="100"/>
              <w:bottom w:type="dxa" w:w="60"/>
              <w:right w:type="dxa" w:w="100"/>
            </w:tcMar>
          </w:tcPr>
          <w:p>
            <w:r>
              <w:rPr>
                <w:rFonts w:ascii="Arial" w:cs="Arial" w:eastAsia="Arial" w:hAnsi="Arial"/>
                <w:b/>
                <w:bCs/>
                <w:i w:val="false"/>
                <w:iCs w:val="false"/>
                <w:color w:val="534AB7"/>
                <w:sz w:val="17"/>
                <w:szCs w:val="17"/>
              </w:rPr>
              <w:t xml:space="preserve">Signal to hiring managers</w:t>
            </w:r>
          </w:p>
        </w:tc>
      </w:tr>
      <w:tr>
        <w:tc>
          <w:tcPr>
            <w:tcW w:type="dxa" w:w="12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1 — Immediate</w:t>
            </w:r>
          </w:p>
        </w:tc>
        <w:tc>
          <w:tcPr>
            <w:tcW w:type="dxa" w:w="26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Apply 6 bug fixes; merge to main; validate obs counts against expected county totals</w:t>
            </w:r>
          </w:p>
        </w:tc>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client.py, cleaning.py, cli.py fixed; clean commit message per bug</w:t>
            </w:r>
          </w:p>
        </w:tc>
        <w:tc>
          <w:tcPr>
            <w:tcW w:type="dxa" w:w="31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Code quality, self-auditing, QA rigor</w:t>
            </w:r>
          </w:p>
        </w:tc>
      </w:tr>
      <w:tr>
        <w:tc>
          <w:tcPr>
            <w:tcW w:type="dxa" w:w="12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2 — Week 1</w:t>
            </w:r>
          </w:p>
        </w:tc>
        <w:tc>
          <w:tcPr>
            <w:tcW w:type="dxa" w:w="26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Build Module A — HCC risk flag analysis + V28 coding exposure index; publish first LinkedIn post with county risk flag finding</w:t>
            </w:r>
          </w:p>
        </w:tc>
        <w:tc>
          <w:tcPr>
            <w:tcW w:type="dxa" w:w="24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hcc_radv_risk_flags/ module; hcc_risk_report.ipynb; v28_exposure_index.py</w:t>
            </w:r>
          </w:p>
        </w:tc>
        <w:tc>
          <w:tcPr>
            <w:tcW w:type="dxa" w:w="31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RADV analytics, payment integrity, HCC logic, V28 transition fluency</w:t>
            </w:r>
          </w:p>
        </w:tc>
      </w:tr>
      <w:tr>
        <w:tc>
          <w:tcPr>
            <w:tcW w:type="dxa" w:w="12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3 — Week 2–3</w:t>
            </w:r>
          </w:p>
        </w:tc>
        <w:tc>
          <w:tcPr>
            <w:tcW w:type="dxa" w:w="26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Build Module B — shared savings model; extend efficiency ratio to include benchmark + reconciliation + V28 version skew layer</w:t>
            </w:r>
          </w:p>
        </w:tc>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shared_savings_model/ module; financial_model.ipynb with V24/V28 comparison charts</w:t>
            </w:r>
          </w:p>
        </w:tc>
        <w:tc>
          <w:tcPr>
            <w:tcW w:type="dxa" w:w="31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VBC financial modeling, MSSP reconciliation, V28 methodology artifact quantification</w:t>
            </w:r>
          </w:p>
        </w:tc>
      </w:tr>
      <w:tr>
        <w:tc>
          <w:tcPr>
            <w:tcW w:type="dxa" w:w="12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4 — Week 3–4</w:t>
            </w:r>
          </w:p>
        </w:tc>
        <w:tc>
          <w:tcPr>
            <w:tcW w:type="dxa" w:w="26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Build Module C — PA metrics simulation; deploy Streamlit app on Community Cloud</w:t>
            </w:r>
          </w:p>
        </w:tc>
        <w:tc>
          <w:tcPr>
            <w:tcW w:type="dxa" w:w="24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pa_metrics_simulation/ module; live Streamlit URL</w:t>
            </w:r>
          </w:p>
        </w:tc>
        <w:tc>
          <w:tcPr>
            <w:tcW w:type="dxa" w:w="31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CMS-0057-F fluency, compliance reporting, PA schema implementation</w:t>
            </w:r>
          </w:p>
        </w:tc>
      </w:tr>
      <w:tr>
        <w:tc>
          <w:tcPr>
            <w:tcW w:type="dxa" w:w="12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5 — Parallel</w:t>
            </w:r>
          </w:p>
        </w:tc>
        <w:tc>
          <w:tcPr>
            <w:tcW w:type="dxa" w:w="26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Begin fhir-cms-interop-toolkit as standalone second portfolio project</w:t>
            </w:r>
          </w:p>
        </w:tc>
        <w:tc>
          <w:tcPr>
            <w:tcW w:type="dxa" w:w="240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Separate GitHub repo; BB2 sandbox queries; CMS-0057-F compliance checker</w:t>
            </w:r>
          </w:p>
        </w:tc>
        <w:tc>
          <w:tcPr>
            <w:tcW w:type="dxa" w:w="3160"/>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FHIR interoperability, health IT engineering, different hiring audience than MSSP project</w:t>
            </w:r>
          </w:p>
        </w:tc>
      </w:tr>
      <w:tr>
        <w:tc>
          <w:tcPr>
            <w:tcW w:type="dxa" w:w="12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6 — Ongoing</w:t>
            </w:r>
          </w:p>
        </w:tc>
        <w:tc>
          <w:tcPr>
            <w:tcW w:type="dxa" w:w="26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Link PY Financial &amp; Quality Results PUF for ACO-level context; explore DiD design for TEAM counties</w:t>
            </w:r>
          </w:p>
        </w:tc>
        <w:tc>
          <w:tcPr>
            <w:tcW w:type="dxa" w:w="240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External PUF linkage; DiD notebook (exploratory)</w:t>
            </w:r>
          </w:p>
        </w:tc>
        <w:tc>
          <w:tcPr>
            <w:tcW w:type="dxa" w:w="3160"/>
            <w:tcBorders>
              <w:top w:val="single" w:color="D1D5DB" w:sz="4"/>
              <w:left w:val="single" w:color="D1D5DB" w:sz="4"/>
              <w:bottom w:val="single" w:color="D1D5DB" w:sz="4"/>
              <w:right w:val="single" w:color="D1D5DB" w:sz="4"/>
            </w:tcBorders>
            <w:shd w:fill="FAFAFA" w:val="clear"/>
            <w:tcMar>
              <w:top w:type="dxa" w:w="60"/>
              <w:left w:type="dxa" w:w="100"/>
              <w:bottom w:type="dxa" w:w="60"/>
              <w:right w:type="dxa" w:w="100"/>
            </w:tcMar>
          </w:tcPr>
          <w:p>
            <w:r>
              <w:rPr>
                <w:rFonts w:ascii="Arial" w:cs="Arial" w:eastAsia="Arial" w:hAnsi="Arial"/>
                <w:b w:val="false"/>
                <w:bCs w:val="false"/>
                <w:i w:val="false"/>
                <w:iCs w:val="false"/>
                <w:color w:val="1F2937"/>
                <w:sz w:val="17"/>
                <w:szCs w:val="17"/>
              </w:rPr>
              <w:t xml:space="preserve">Advanced methodology, research design, publishable analysis potential</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E8E4FB" w:val="clear"/>
            <w:tcMar>
              <w:top w:type="dxa" w:w="80"/>
              <w:left w:type="dxa" w:w="80"/>
              <w:bottom w:type="dxa" w:w="80"/>
              <w:right w:type="dxa" w:w="80"/>
            </w:tcMar>
          </w:tcPr>
          <w:p/>
        </w:tc>
        <w:tc>
          <w:tcPr>
            <w:tcW w:type="dxa" w:w="9200"/>
            <w:tcBorders>
              <w:top w:val="none" w:color="FFFFFF" w:sz="0"/>
              <w:left w:val="single" w:color="534AB7" w:sz="12"/>
              <w:bottom w:val="none" w:color="FFFFFF" w:sz="0"/>
              <w:right w:val="none" w:color="FFFFFF" w:sz="0"/>
            </w:tcBorders>
            <w:shd w:fill="F5F4FE" w:val="clear"/>
            <w:tcMar>
              <w:top w:type="dxa" w:w="80"/>
              <w:left w:type="dxa" w:w="140"/>
              <w:bottom w:type="dxa" w:w="80"/>
              <w:right w:type="dxa" w:w="120"/>
            </w:tcMar>
          </w:tcPr>
          <w:p>
            <w:pPr>
              <w:spacing w:after="40" w:before="0"/>
            </w:pPr>
            <w:r>
              <w:rPr>
                <w:rFonts w:ascii="Arial" w:cs="Arial" w:eastAsia="Arial" w:hAnsi="Arial"/>
                <w:b/>
                <w:bCs/>
                <w:i w:val="false"/>
                <w:iCs w:val="false"/>
                <w:color w:val="534AB7"/>
                <w:sz w:val="17"/>
                <w:szCs w:val="17"/>
              </w:rPr>
              <w:t xml:space="preserve">Portfolio arc when complete</w:t>
            </w:r>
          </w:p>
          <w:p>
            <w:pPr>
              <w:spacing w:after="0" w:before="0"/>
            </w:pPr>
            <w:r>
              <w:rPr>
                <w:rFonts w:ascii="Arial" w:cs="Arial" w:eastAsia="Arial" w:hAnsi="Arial"/>
                <w:b w:val="false"/>
                <w:bCs w:val="false"/>
                <w:i w:val="false"/>
                <w:iCs w:val="false"/>
                <w:color w:val="1F2937"/>
                <w:sz w:val="18"/>
                <w:szCs w:val="18"/>
              </w:rPr>
              <w:t xml:space="preserve">GitHub: MSSP county-level analytics (3 modules + Streamlit app) + fhir-cms-interop-toolkit (standalone). LinkedIn: two posts — one framing the RADV/V28 risk flag finding, one framing the CMS-0057-F compliance checker gap analysis. Two distinct hiring audiences, two distinct technical signals, no dilution. The MSSP project speaks to payment integrity, risk adjustment, and VBC analytics. The FHIR project speaks to health IT interoperability engineering. The combination covers both sides of the Honest Health JD — Medical Expense Management / Risk Adjustment on one side, health IT and emerging tools on the other.</w:t>
            </w:r>
          </w:p>
        </w:tc>
      </w:tr>
    </w:tbl>
    <w:p>
      <w:pPr>
        <w:spacing w:after="200" w:before="200"/>
      </w:pPr>
    </w:p>
    <w:p>
      <w:pPr>
        <w:pBdr>
          <w:bottom w:val="single" w:color="D1D5DB" w:sz="4" w:space="1"/>
        </w:pBdr>
        <w:spacing w:after="180" w:before="180"/>
      </w:pPr>
    </w:p>
    <w:p>
      <w:pPr>
        <w:spacing w:after="100" w:before="0"/>
        <w:jc w:val="center"/>
      </w:pPr>
      <w:r>
        <w:rPr>
          <w:rFonts w:ascii="Arial" w:cs="Arial" w:eastAsia="Arial" w:hAnsi="Arial"/>
          <w:b w:val="false"/>
          <w:bCs w:val="false"/>
          <w:i/>
          <w:iCs/>
          <w:color w:val="6B7280"/>
          <w:sz w:val="16"/>
          <w:szCs w:val="16"/>
        </w:rPr>
        <w:t xml:space="preserve">Generated by Claude | April 2026 | v5 — consolidated final MSSP project plan. Module D removed; all v4 comment corrections integrated; per-module v4 delta logs included. Supersedes all prior versions for MSSP project scope.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6B7280"/>
        <w:sz w:val="16"/>
        <w:szCs w:val="16"/>
      </w:rPr>
      <w:t xml:space="preserve">CORPUZ-2024  |  MSSP Project Plan v5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2937"/>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534AB7"/>
      <w:sz w:val="28"/>
      <w:szCs w:val="28"/>
    </w:rPr>
  </w:style>
  <w:style w:type="paragraph" w:styleId="Heading3">
    <w:name w:val="Heading 3"/>
    <w:basedOn w:val="Normal"/>
    <w:next w:val="Normal"/>
    <w:qFormat/>
    <w:pPr>
      <w:spacing w:after="70" w:before="18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nsazysytbmcadjdazywu" Type="http://schemas.openxmlformats.org/officeDocument/2006/relationships/hyperlink" Target="https://www.cms.gov/priorities/innovation/innovation-models/shared-savings-program" TargetMode="External"/><Relationship Id="rIdckaqmcz7icotaecyfmth0" Type="http://schemas.openxmlformats.org/officeDocument/2006/relationships/hyperlink" Target="https://www.cms.gov/research-statistics-data-and-systems/monitoring-programs/recovery-audit-program-parts-c-and-d/other-content-types/radv-docs/radv-checklist.pdf" TargetMode="External"/><Relationship Id="rIdnhrghp2uhytqsmbxjfh7r" Type="http://schemas.openxmlformats.org/officeDocument/2006/relationships/hyperlink" Target="https://www.cms.gov/medicare/payment/medicare-advantage-rates-statistics/announcements-and-documents" TargetMode="External"/><Relationship Id="rIdarfvnw8n_5eai4h8ntt3p" Type="http://schemas.openxmlformats.org/officeDocument/2006/relationships/hyperlink" Target="https://www.cms.gov/priorities/innovation/innovation-models/shared-savings-program" TargetMode="External"/><Relationship Id="rIdg6kenwhag7rn7zk4vg1ed" Type="http://schemas.openxmlformats.org/officeDocument/2006/relationships/hyperlink" Target="https://www.cms.gov/files/document/payment-year-2019-radv-audits-methods-and-instructions-6-26-25.pdf" TargetMode="External"/><Relationship Id="rIdjbm9nqxyvvakty-6dubz5" Type="http://schemas.openxmlformats.org/officeDocument/2006/relationships/hyperlink" Target="https://data.cms.gov/medicare-shared-savings-program" TargetMode="External"/><Relationship Id="rIdzx85jmr-koxwwiqnumehh" Type="http://schemas.openxmlformats.org/officeDocument/2006/relationships/hyperlink" Target="https://data.cms.gov/medicare-shared-savings-program" TargetMode="External"/><Relationship Id="rIdzbqnjrypvzyculkndqxhy" Type="http://schemas.openxmlformats.org/officeDocument/2006/relationships/hyperlink" Target="https://www.cms.gov/priorities/innovation/innovation-models/shared-savings-program" TargetMode="External"/><Relationship Id="rId85gs_hgo6l1k4be300epd" Type="http://schemas.openxmlformats.org/officeDocument/2006/relationships/hyperlink" Target="https://www.cms.gov/priorities/innovation/innovation-models/team-model" TargetMode="External"/><Relationship Id="rIdcei11rsgwpwueshflfh8y" Type="http://schemas.openxmlformats.org/officeDocument/2006/relationships/hyperlink" Target="https://www.cms.gov/medicare/payment/prospective-payment-systems/acute-inpatient-pps/fy2026-ipps-final-rule-home-page" TargetMode="External"/><Relationship Id="rIdwupzxu3cvmflx4cz0jjqj" Type="http://schemas.openxmlformats.org/officeDocument/2006/relationships/hyperlink" Target="https://www.cms.gov/medicare/payment/medicare-advantage-rates-statistics/announcements-and-documents" TargetMode="External"/><Relationship Id="rIdtvhnpimqlcvt7vfqx1xno" Type="http://schemas.openxmlformats.org/officeDocument/2006/relationships/hyperlink" Target="https://www.cms.gov/research-statistics-data-and-systems/monitoring-programs/medicare-fee-service-compliance-programs/prior-authorization-and-pre-claim-review-initiatives" TargetMode="External"/><Relationship Id="rId8uh2l7z7xrakucmh6lzla" Type="http://schemas.openxmlformats.org/officeDocument/2006/relationships/hyperlink" Target="https://www.cms.gov/files/document/pre-claim-review-program-statistics-document-fy-24.pdf" TargetMode="External"/><Relationship Id="rIdhqovwkouc6gr3fmoxfs64" Type="http://schemas.openxmlformats.org/officeDocument/2006/relationships/hyperlink" Target="https://www.kff.org/medicare/medicare-advantage-insurers-made-nearly-53-million-prior-authorization-determinations-in-2024/" TargetMode="External"/><Relationship Id="rId2z8fcfrzwuapndomvilnl" Type="http://schemas.openxmlformats.org/officeDocument/2006/relationships/hyperlink" Target="https://www.cms.gov/priorities/burden-reduction/overview/interoperability/frequently-asked-questions/prior-authorization-api" TargetMode="External"/><Relationship Id="rId4ehpnezpyogttjvmjhoih" Type="http://schemas.openxmlformats.org/officeDocument/2006/relationships/hyperlink" Target="https://www.cms.gov/cms-interoperability-and-prior-authorization-final-rule-cms-0057-f" TargetMode="External"/><Relationship Id="rIdf-sxraokttmd6jrw52n5h" Type="http://schemas.openxmlformats.org/officeDocument/2006/relationships/hyperlink" Target="https://www.cms.gov/files/document/prior-authorization-metrics-reporting-overview-template.pdf" TargetMode="External"/><Relationship Id="rIdqyzaj_5slbef3pdpdyg2b" Type="http://schemas.openxmlformats.org/officeDocument/2006/relationships/hyperlink" Target="https://data.cms.gov/medicare-shared-savings-program" TargetMode="External"/><Relationship Id="rIdu_y5rmda-ixq6yi6xf0ub" Type="http://schemas.openxmlformats.org/officeDocument/2006/relationships/hyperlink" Target="https://www.cms.gov/research-statistics-data-and-systems/monitoring-programs/recovery-audit-program-parts-c-and-d/other-content-types/radv-docs/radv-checklist.pdf" TargetMode="External"/><Relationship Id="rIdwg0bukdkhwxe1mfmvipsl" Type="http://schemas.openxmlformats.org/officeDocument/2006/relationships/hyperlink" Target="https://www.cms.gov/data-research/monitoring-programs/medicare-risk-adjustment-data-validation-program" TargetMode="External"/><Relationship Id="rIddwk_468bxvyjnuhnpayqq" Type="http://schemas.openxmlformats.org/officeDocument/2006/relationships/hyperlink" Target="https://www.cms.gov/medicare/payment/medicare-advantage-rates-statistics/announcements-and-documents" TargetMode="External"/><Relationship Id="rIdhay1_3ab5ah47ifztqcra" Type="http://schemas.openxmlformats.org/officeDocument/2006/relationships/hyperlink" Target="https://data.cms.gov/medicare-shared-savings-program" TargetMode="External"/><Relationship Id="rId9matiaqldk3nvvzdtjwdc" Type="http://schemas.openxmlformats.org/officeDocument/2006/relationships/hyperlink" Target="https://www.cms.gov/priorities/innovation/innovation-models/team-model" TargetMode="External"/><Relationship Id="rIdsayw5jx2bz00jhr2kqloi" Type="http://schemas.openxmlformats.org/officeDocument/2006/relationships/hyperlink" Target="https://www.cms.gov/medicare/payment/prospective-payment-systems/acute-inpatient-pps/fy2026-ipps-final-rule-home-page" TargetMode="External"/><Relationship Id="rIdd-xs33wv5mdhx8shxqg5o" Type="http://schemas.openxmlformats.org/officeDocument/2006/relationships/hyperlink" Target="https://www.cms.gov/priorities/burden-reduction/overview/interoperability/frequently-asked-questions/prior-authorization-api" TargetMode="External"/><Relationship Id="rIdhbjnfzm0xpmdjcxhzwahe" Type="http://schemas.openxmlformats.org/officeDocument/2006/relationships/hyperlink" Target="https://www.cms.gov/files/document/prior-authorization-metrics-reporting-overview-template.pdf" TargetMode="External"/><Relationship Id="rIdqwkuvgznbibuyzv2yrkpa" Type="http://schemas.openxmlformats.org/officeDocument/2006/relationships/hyperlink" Target="https://www.cms.gov/files/document/pre-claim-review-program-statistics-document-fy-24.pdf" TargetMode="External"/><Relationship Id="rIdv7c_pu5t2uxd_ddxwzd3l" Type="http://schemas.openxmlformats.org/officeDocument/2006/relationships/hyperlink" Target="https://www.kff.org/medicare/medicare-advantage-insurers-made-nearly-53-million-prior-authorization-determinations-in-2024/" TargetMode="External"/><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2026-04-18T20:22:19.244Z</dcterms:created>
  <dcterms:modified xsi:type="dcterms:W3CDTF">2026-04-18T20:22:19.245Z</dcterms:modified>
</cp:coreProperties>
</file>

<file path=docProps/custom.xml><?xml version="1.0" encoding="utf-8"?>
<Properties xmlns="http://schemas.openxmlformats.org/officeDocument/2006/custom-properties" xmlns:vt="http://schemas.openxmlformats.org/officeDocument/2006/docPropsVTypes"/>
</file>