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57B41" w14:textId="5ACD1BC4"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t xml:space="preserve">Le document "La politique de l'habitat au Sénégal : une mutation permanente" de </w:t>
      </w:r>
      <w:proofErr w:type="spellStart"/>
      <w:r w:rsidRPr="00CC705D">
        <w:rPr>
          <w:rFonts w:ascii="Times New Roman" w:hAnsi="Times New Roman" w:cs="Times New Roman"/>
          <w:b/>
          <w:bCs/>
          <w:sz w:val="24"/>
          <w:szCs w:val="24"/>
        </w:rPr>
        <w:t>Youssouph</w:t>
      </w:r>
      <w:proofErr w:type="spellEnd"/>
      <w:r w:rsidRPr="00CC705D">
        <w:rPr>
          <w:rFonts w:ascii="Times New Roman" w:hAnsi="Times New Roman" w:cs="Times New Roman"/>
          <w:b/>
          <w:bCs/>
          <w:sz w:val="24"/>
          <w:szCs w:val="24"/>
        </w:rPr>
        <w:t xml:space="preserve"> San offre une analyse approfondie du contexte, des dynamiques et des enjeux relatifs à la construction d’un indicateur de l’habitat au Sénégal. L’urbanisation sénégalaise, notamment à Dakar, se caractérise par une croissance démographique très rapide et une expansion urbaine souvent « sous-intégrée », terme emprunté au géographe marocain Mohamed Naciri, qui désigne des quartiers peu reliés à la trame urbaine officielle, avec un habitat précaire, un manque d’infrastructures et une marginalisation socio-économique marquée des populations y résidant</w:t>
      </w:r>
      <w:r w:rsidR="00E93BCA">
        <w:rPr>
          <w:rFonts w:ascii="Times New Roman" w:hAnsi="Times New Roman" w:cs="Times New Roman"/>
          <w:b/>
          <w:bCs/>
          <w:sz w:val="24"/>
          <w:szCs w:val="24"/>
        </w:rPr>
        <w:t>.</w:t>
      </w:r>
      <w:r w:rsidRPr="00CC705D">
        <w:rPr>
          <w:rFonts w:ascii="Times New Roman" w:hAnsi="Times New Roman" w:cs="Times New Roman"/>
          <w:b/>
          <w:bCs/>
          <w:sz w:val="24"/>
          <w:szCs w:val="24"/>
        </w:rPr>
        <w:t xml:space="preserve"> Cette situation est aggravée par des implantations fréquemment illégales sur des zones non constructibles, accentuant les risques liés aux inondations récurrentes.</w:t>
      </w:r>
    </w:p>
    <w:p w14:paraId="28E63E10" w14:textId="1CF68719"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t>La construction d’un indicateur de l’habitat au Sénégal doit prendre en compte des variables multiples : le statut juridique des logements (propriétaires, locataires, occupants sans titre), le type d’habitat (logements sociaux, auto-construction, logements informels), l’accès au foncier et aux infrastructures de base (eau, électricité, voirie), les conditions socio-économiques des ménages, la localisation urbaine (centre-ville, périphérie) ainsi que les conditions d’équipement et les risques environnementaux. Ces variables sont essentielles à la compréhension fine de l’habitat et de ses problématiques dans un cadre sénégalais caractérisé par une forte disparité territoriale et sociale</w:t>
      </w:r>
      <w:r w:rsidR="00E93BCA">
        <w:rPr>
          <w:rFonts w:ascii="Times New Roman" w:hAnsi="Times New Roman" w:cs="Times New Roman"/>
          <w:b/>
          <w:bCs/>
          <w:sz w:val="24"/>
          <w:szCs w:val="24"/>
        </w:rPr>
        <w:t>.</w:t>
      </w:r>
    </w:p>
    <w:p w14:paraId="23E7B04D" w14:textId="5C958257"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t xml:space="preserve">L’indicateur doit également intégrer la dynamique des politiques publiques locales, qui combinent promotion foncière et immobilière, régularisation foncière, restructuration urbaine et financement de l’habitat. La régularisation foncière — processus par lequel des populations occupant des terrains sans titre légal obtiennent un droit d’usage ou de propriété sécurisé — est un élément clé des politiques sénégalaises, notamment à travers des programmes comme celui de </w:t>
      </w:r>
      <w:proofErr w:type="spellStart"/>
      <w:r w:rsidRPr="00CC705D">
        <w:rPr>
          <w:rFonts w:ascii="Times New Roman" w:hAnsi="Times New Roman" w:cs="Times New Roman"/>
          <w:b/>
          <w:bCs/>
          <w:sz w:val="24"/>
          <w:szCs w:val="24"/>
        </w:rPr>
        <w:t>Dalifort</w:t>
      </w:r>
      <w:proofErr w:type="spellEnd"/>
      <w:r w:rsidRPr="00CC705D">
        <w:rPr>
          <w:rFonts w:ascii="Times New Roman" w:hAnsi="Times New Roman" w:cs="Times New Roman"/>
          <w:b/>
          <w:bCs/>
          <w:sz w:val="24"/>
          <w:szCs w:val="24"/>
        </w:rPr>
        <w:t>, qui a instauré une méthodologie participative associant recensement, organisation des populations en groupements d’intérêt économique pour le paiement des infrastructures et attribution des droits de superficie (droit de construire sur un terrain appartenant à un autre)</w:t>
      </w:r>
      <w:r w:rsidR="00E93BCA">
        <w:rPr>
          <w:rFonts w:ascii="Times New Roman" w:hAnsi="Times New Roman" w:cs="Times New Roman"/>
          <w:b/>
          <w:bCs/>
          <w:sz w:val="24"/>
          <w:szCs w:val="24"/>
        </w:rPr>
        <w:t>.</w:t>
      </w:r>
      <w:r w:rsidRPr="00CC705D">
        <w:rPr>
          <w:rFonts w:ascii="Times New Roman" w:hAnsi="Times New Roman" w:cs="Times New Roman"/>
          <w:b/>
          <w:bCs/>
          <w:sz w:val="24"/>
          <w:szCs w:val="24"/>
        </w:rPr>
        <w:t xml:space="preserve"> Cette procédure permet de mieux intégrer les quartiers irréguliers au tissu urbain légal.</w:t>
      </w:r>
    </w:p>
    <w:p w14:paraId="0A632E34" w14:textId="5CAE2369"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t>Un autre terme important est la « régularisation foncière », entendue comme l'action de sécuriser par des titres officiels la propriété ou l’occupation des terres, évitant les expulsions arbitraires et facilitant l’accès aux services et financements</w:t>
      </w:r>
      <w:r w:rsidR="00E93BCA">
        <w:rPr>
          <w:rFonts w:ascii="Times New Roman" w:hAnsi="Times New Roman" w:cs="Times New Roman"/>
          <w:b/>
          <w:bCs/>
          <w:sz w:val="24"/>
          <w:szCs w:val="24"/>
        </w:rPr>
        <w:t>.</w:t>
      </w:r>
      <w:r w:rsidRPr="00CC705D">
        <w:rPr>
          <w:rFonts w:ascii="Times New Roman" w:hAnsi="Times New Roman" w:cs="Times New Roman"/>
          <w:b/>
          <w:bCs/>
          <w:sz w:val="24"/>
          <w:szCs w:val="24"/>
        </w:rPr>
        <w:t xml:space="preserve"> Ce concept est central dans la lutte contre l’habitat informel et la construction d’indicateurs pertinents pour le suivi de la politique d’habitat.</w:t>
      </w:r>
    </w:p>
    <w:p w14:paraId="19F02529" w14:textId="26E992B3"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t>L’État sénégalais, malgré des efforts historiques notamment par des entreprises immobilières publiques comme la SICAP et la SNHLM, peine encore à répondre à la demande croissante de logements. La majorité des populations pauvres se logent souvent dans des quartiers auto-construits, éloignés des centres et sans respect des normes urbanistiques. Ces populations sont souvent exclues des programmes officiels du fait du manque d’accès au foncier légal ou à des solutions de financement adaptées. Le financement de l’habitat reste ainsi un défi majeur, avec une forte dépendance aux bailleurs internationaux et des initiatives publiques et privées complémentaires, alors que le secteur privé privilégie surtout les ménages solvables des classes moyennes et supérieures</w:t>
      </w:r>
      <w:r w:rsidR="00E93BCA">
        <w:rPr>
          <w:rFonts w:ascii="Times New Roman" w:hAnsi="Times New Roman" w:cs="Times New Roman"/>
          <w:b/>
          <w:bCs/>
          <w:sz w:val="24"/>
          <w:szCs w:val="24"/>
        </w:rPr>
        <w:t>.</w:t>
      </w:r>
    </w:p>
    <w:p w14:paraId="2CCE4613" w14:textId="24B1DA53"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lastRenderedPageBreak/>
        <w:t xml:space="preserve">Le contexte des inondations, qui touchent régulièrement des quartiers entiers, est un moteur important des politiques de restructuration urbaine et de relogement, à travers des programmes tels que le Plan </w:t>
      </w:r>
      <w:proofErr w:type="spellStart"/>
      <w:r w:rsidRPr="00CC705D">
        <w:rPr>
          <w:rFonts w:ascii="Times New Roman" w:hAnsi="Times New Roman" w:cs="Times New Roman"/>
          <w:b/>
          <w:bCs/>
          <w:sz w:val="24"/>
          <w:szCs w:val="24"/>
        </w:rPr>
        <w:t>Jaxaay</w:t>
      </w:r>
      <w:proofErr w:type="spellEnd"/>
      <w:r w:rsidRPr="00CC705D">
        <w:rPr>
          <w:rFonts w:ascii="Times New Roman" w:hAnsi="Times New Roman" w:cs="Times New Roman"/>
          <w:b/>
          <w:bCs/>
          <w:sz w:val="24"/>
          <w:szCs w:val="24"/>
        </w:rPr>
        <w:t xml:space="preserve"> et le Plan décennal de Lutte Contre les Inondations (PLCI). Ces programmes visent à recaser les populations sinistrées dans des logements décents tout en désenclavant durablement les zones à risques, ce qui doit être pris en compte dans la conception d’un indicateur intégrant les facteurs environnementaux et les capacités de résilience urbaine.</w:t>
      </w:r>
    </w:p>
    <w:p w14:paraId="006318E1" w14:textId="69B3758F" w:rsidR="00CC705D" w:rsidRPr="00CC705D" w:rsidRDefault="00CC705D" w:rsidP="00CC705D">
      <w:pPr>
        <w:rPr>
          <w:rFonts w:ascii="Times New Roman" w:hAnsi="Times New Roman" w:cs="Times New Roman"/>
          <w:b/>
          <w:bCs/>
          <w:sz w:val="24"/>
          <w:szCs w:val="24"/>
        </w:rPr>
      </w:pPr>
      <w:r w:rsidRPr="00CC705D">
        <w:rPr>
          <w:rFonts w:ascii="Times New Roman" w:hAnsi="Times New Roman" w:cs="Times New Roman"/>
          <w:b/>
          <w:bCs/>
          <w:sz w:val="24"/>
          <w:szCs w:val="24"/>
        </w:rPr>
        <w:t>En conclusion, la construction d’un indicateur de l’habitat au Sénégal doit couvrir plusieurs dimensions : juridiques, socio-économiques, spatiales, institutionnelles et environnementales. Ce cadre permet de suivre de manière fine les dynamiques d’urbanisation sous-intégrée, la régularisation foncière, la production de logements sociaux, l’évolution des politiques publiques, ainsi que les impacts des catastrophes environnementales sur l’habitat et les réponses étatiques. Une telle approche holistique est indispensable pour informer et ajuster les politiques publiques afin d’améliorer durablement les conditions de logement au Sénégal.</w:t>
      </w:r>
    </w:p>
    <w:p w14:paraId="48CACF25" w14:textId="7F0729A4" w:rsidR="0067538B" w:rsidRPr="00CC705D" w:rsidRDefault="0067538B" w:rsidP="00CC705D"/>
    <w:sectPr w:rsidR="0067538B" w:rsidRPr="00CC7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19"/>
    <w:rsid w:val="00003B84"/>
    <w:rsid w:val="001F1EB6"/>
    <w:rsid w:val="00246600"/>
    <w:rsid w:val="00420606"/>
    <w:rsid w:val="00465DBB"/>
    <w:rsid w:val="005324FD"/>
    <w:rsid w:val="0067538B"/>
    <w:rsid w:val="00773906"/>
    <w:rsid w:val="00922DD1"/>
    <w:rsid w:val="009A2C0E"/>
    <w:rsid w:val="009A70DD"/>
    <w:rsid w:val="009B701E"/>
    <w:rsid w:val="00A0143A"/>
    <w:rsid w:val="00A50922"/>
    <w:rsid w:val="00AB3AF6"/>
    <w:rsid w:val="00CC705D"/>
    <w:rsid w:val="00CD77CB"/>
    <w:rsid w:val="00D540AD"/>
    <w:rsid w:val="00D54786"/>
    <w:rsid w:val="00E93BCA"/>
    <w:rsid w:val="00F055C5"/>
    <w:rsid w:val="00F076AA"/>
    <w:rsid w:val="00F21319"/>
    <w:rsid w:val="00F56798"/>
    <w:rsid w:val="00F83366"/>
    <w:rsid w:val="00F86E0C"/>
    <w:rsid w:val="00F90402"/>
    <w:rsid w:val="00FC20FA"/>
    <w:rsid w:val="00FD1D19"/>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6ED"/>
  <w15:chartTrackingRefBased/>
  <w15:docId w15:val="{632CAB57-7B63-407A-AF64-5CE58256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1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D1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D1D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D1D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D1D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D1D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1D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1D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1D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D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D1D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D1D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D1D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D1D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D1D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1D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1D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1D19"/>
    <w:rPr>
      <w:rFonts w:eastAsiaTheme="majorEastAsia" w:cstheme="majorBidi"/>
      <w:color w:val="272727" w:themeColor="text1" w:themeTint="D8"/>
    </w:rPr>
  </w:style>
  <w:style w:type="paragraph" w:styleId="Titre">
    <w:name w:val="Title"/>
    <w:basedOn w:val="Normal"/>
    <w:next w:val="Normal"/>
    <w:link w:val="TitreCar"/>
    <w:uiPriority w:val="10"/>
    <w:qFormat/>
    <w:rsid w:val="00FD1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1D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1D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1D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1D19"/>
    <w:pPr>
      <w:spacing w:before="160"/>
      <w:jc w:val="center"/>
    </w:pPr>
    <w:rPr>
      <w:i/>
      <w:iCs/>
      <w:color w:val="404040" w:themeColor="text1" w:themeTint="BF"/>
    </w:rPr>
  </w:style>
  <w:style w:type="character" w:customStyle="1" w:styleId="CitationCar">
    <w:name w:val="Citation Car"/>
    <w:basedOn w:val="Policepardfaut"/>
    <w:link w:val="Citation"/>
    <w:uiPriority w:val="29"/>
    <w:rsid w:val="00FD1D19"/>
    <w:rPr>
      <w:i/>
      <w:iCs/>
      <w:color w:val="404040" w:themeColor="text1" w:themeTint="BF"/>
    </w:rPr>
  </w:style>
  <w:style w:type="paragraph" w:styleId="Paragraphedeliste">
    <w:name w:val="List Paragraph"/>
    <w:basedOn w:val="Normal"/>
    <w:uiPriority w:val="34"/>
    <w:qFormat/>
    <w:rsid w:val="00FD1D19"/>
    <w:pPr>
      <w:ind w:left="720"/>
      <w:contextualSpacing/>
    </w:pPr>
  </w:style>
  <w:style w:type="character" w:styleId="Accentuationintense">
    <w:name w:val="Intense Emphasis"/>
    <w:basedOn w:val="Policepardfaut"/>
    <w:uiPriority w:val="21"/>
    <w:qFormat/>
    <w:rsid w:val="00FD1D19"/>
    <w:rPr>
      <w:i/>
      <w:iCs/>
      <w:color w:val="2F5496" w:themeColor="accent1" w:themeShade="BF"/>
    </w:rPr>
  </w:style>
  <w:style w:type="paragraph" w:styleId="Citationintense">
    <w:name w:val="Intense Quote"/>
    <w:basedOn w:val="Normal"/>
    <w:next w:val="Normal"/>
    <w:link w:val="CitationintenseCar"/>
    <w:uiPriority w:val="30"/>
    <w:qFormat/>
    <w:rsid w:val="00FD1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D1D19"/>
    <w:rPr>
      <w:i/>
      <w:iCs/>
      <w:color w:val="2F5496" w:themeColor="accent1" w:themeShade="BF"/>
    </w:rPr>
  </w:style>
  <w:style w:type="character" w:styleId="Rfrenceintense">
    <w:name w:val="Intense Reference"/>
    <w:basedOn w:val="Policepardfaut"/>
    <w:uiPriority w:val="32"/>
    <w:qFormat/>
    <w:rsid w:val="00FD1D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725</Words>
  <Characters>3988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OUMAR SAKHO</dc:creator>
  <cp:keywords/>
  <dc:description/>
  <cp:lastModifiedBy>CHEIKH OUMAR SAKHO</cp:lastModifiedBy>
  <cp:revision>7</cp:revision>
  <dcterms:created xsi:type="dcterms:W3CDTF">2025-09-12T16:40:00Z</dcterms:created>
  <dcterms:modified xsi:type="dcterms:W3CDTF">2025-09-18T14:39:00Z</dcterms:modified>
</cp:coreProperties>
</file>