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Lora" w:cs="Lora" w:eastAsia="Lora" w:hAnsi="Lora"/>
        </w:rPr>
      </w:pPr>
      <w:bookmarkStart w:colFirst="0" w:colLast="0" w:name="_qnsqce2tzt5g" w:id="0"/>
      <w:bookmarkEnd w:id="0"/>
      <w:r w:rsidDel="00000000" w:rsidR="00000000" w:rsidRPr="00000000">
        <w:rPr>
          <w:rFonts w:ascii="Lora" w:cs="Lora" w:eastAsia="Lora" w:hAnsi="Lora"/>
          <w:rtl w:val="0"/>
        </w:rPr>
        <w:t xml:space="preserve">Gogy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Lora" w:cs="Lora" w:eastAsia="Lora" w:hAnsi="Lora"/>
        </w:rPr>
      </w:pPr>
      <w:bookmarkStart w:colFirst="0" w:colLast="0" w:name="_vx91wcekj2ls" w:id="1"/>
      <w:bookmarkEnd w:id="1"/>
      <w:r w:rsidDel="00000000" w:rsidR="00000000" w:rsidRPr="00000000">
        <w:rPr>
          <w:rFonts w:ascii="Lora" w:cs="Lora" w:eastAsia="Lora" w:hAnsi="Lora"/>
          <w:rtl w:val="0"/>
        </w:rPr>
        <w:t xml:space="preserve">Interactive AI education and awareness tool</w:t>
      </w:r>
    </w:p>
    <w:p w:rsidR="00000000" w:rsidDel="00000000" w:rsidP="00000000" w:rsidRDefault="00000000" w:rsidRPr="00000000" w14:paraId="00000004">
      <w:pPr>
        <w:pStyle w:val="Heading2"/>
        <w:rPr>
          <w:rFonts w:ascii="Lora" w:cs="Lora" w:eastAsia="Lora" w:hAnsi="Lora"/>
        </w:rPr>
      </w:pPr>
      <w:bookmarkStart w:colFirst="0" w:colLast="0" w:name="_vo43n6hjoa1u" w:id="2"/>
      <w:bookmarkEnd w:id="2"/>
      <w:r w:rsidDel="00000000" w:rsidR="00000000" w:rsidRPr="00000000">
        <w:rPr>
          <w:rFonts w:ascii="Lora" w:cs="Lora" w:eastAsia="Lora" w:hAnsi="Lora"/>
          <w:rtl w:val="0"/>
        </w:rPr>
        <w:t xml:space="preserve">Bruen</w:t>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Kate Martell</w:t>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Isabel Layland</w:t>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Claire Kelley</w:t>
      </w:r>
    </w:p>
    <w:p w:rsidR="00000000" w:rsidDel="00000000" w:rsidP="00000000" w:rsidRDefault="00000000" w:rsidRPr="00000000" w14:paraId="00000008">
      <w:pPr>
        <w:rPr>
          <w:rFonts w:ascii="Lora" w:cs="Lora" w:eastAsia="Lora" w:hAnsi="Lora"/>
          <w:sz w:val="24"/>
          <w:szCs w:val="24"/>
        </w:rPr>
      </w:pPr>
      <w:r w:rsidDel="00000000" w:rsidR="00000000" w:rsidRPr="00000000">
        <w:rPr>
          <w:rFonts w:ascii="Lora" w:cs="Lora" w:eastAsia="Lora" w:hAnsi="Lora"/>
          <w:color w:val="1f2328"/>
          <w:sz w:val="24"/>
          <w:szCs w:val="24"/>
          <w:highlight w:val="white"/>
          <w:rtl w:val="0"/>
        </w:rPr>
        <w:t xml:space="preserve">Nico Farago Dumsch</w:t>
      </w: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pStyle w:val="Heading1"/>
        <w:rPr>
          <w:rFonts w:ascii="Lora" w:cs="Lora" w:eastAsia="Lora" w:hAnsi="Lora"/>
        </w:rPr>
      </w:pPr>
      <w:bookmarkStart w:colFirst="0" w:colLast="0" w:name="_47rzrqdwzx5j" w:id="3"/>
      <w:bookmarkEnd w:id="3"/>
      <w:r w:rsidDel="00000000" w:rsidR="00000000" w:rsidRPr="00000000">
        <w:rPr>
          <w:rFonts w:ascii="Lora" w:cs="Lora" w:eastAsia="Lora" w:hAnsi="Lora"/>
          <w:rtl w:val="0"/>
        </w:rPr>
        <w:t xml:space="preserve">Problem </w:t>
      </w:r>
      <w:r w:rsidDel="00000000" w:rsidR="00000000" w:rsidRPr="00000000">
        <w:rPr>
          <w:rtl w:val="0"/>
        </w:rPr>
      </w:r>
    </w:p>
    <w:p w:rsidR="00000000" w:rsidDel="00000000" w:rsidP="00000000" w:rsidRDefault="00000000" w:rsidRPr="00000000" w14:paraId="0000000B">
      <w:pPr>
        <w:rPr>
          <w:rFonts w:ascii="Lora" w:cs="Lora" w:eastAsia="Lora" w:hAnsi="Lora"/>
          <w:sz w:val="26"/>
          <w:szCs w:val="26"/>
        </w:rPr>
      </w:pPr>
      <w:r w:rsidDel="00000000" w:rsidR="00000000" w:rsidRPr="00000000">
        <w:rPr>
          <w:rFonts w:ascii="Lora" w:cs="Lora" w:eastAsia="Lora" w:hAnsi="Lora"/>
          <w:sz w:val="24"/>
          <w:szCs w:val="24"/>
          <w:rtl w:val="0"/>
        </w:rPr>
        <w:t xml:space="preserve">AI is, in many ways, the start of a third industrial revolution, which implies this technology will affect the way society as a whole exists and adapts to technology.  Articles and reporting on the topic are everywhere, yet they rarely portray AI in a truthful and comprehensible manner. There is significant misinformation and fearmongering, but also ambiguity and little direction in the areas of legality, ethics, and safety. Further, there are few robust training tools for educators, employers, and others that teach users how to leverage AI responsibly and effectively. While fact-checking pieces, industry blogs, and corporate whitepapers exist, they often oversimplify the issue or demonstrate clear bias and overcertainty. As a whole, the root issue is access to reliable information: much of what is available is inaccurate or shows that the source does not fully understand the technology or the enormity of its implications. </w:t>
      </w:r>
      <w:r w:rsidDel="00000000" w:rsidR="00000000" w:rsidRPr="00000000">
        <w:rPr>
          <w:rFonts w:ascii="Lora" w:cs="Lora" w:eastAsia="Lora" w:hAnsi="Lora"/>
          <w:sz w:val="24"/>
          <w:szCs w:val="24"/>
          <w:rtl w:val="0"/>
        </w:rPr>
        <w:t xml:space="preserve">How can people be given more accessible and reliable ways of learning about AI, its responsible use cases, and its ethical, legal, and safety concerns?</w:t>
      </w:r>
      <w:r w:rsidDel="00000000" w:rsidR="00000000" w:rsidRPr="00000000">
        <w:rPr>
          <w:rtl w:val="0"/>
        </w:rPr>
      </w:r>
    </w:p>
    <w:p w:rsidR="00000000" w:rsidDel="00000000" w:rsidP="00000000" w:rsidRDefault="00000000" w:rsidRPr="00000000" w14:paraId="000000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pStyle w:val="Heading1"/>
        <w:rPr>
          <w:rFonts w:ascii="Lora" w:cs="Lora" w:eastAsia="Lora" w:hAnsi="Lora"/>
        </w:rPr>
      </w:pPr>
      <w:bookmarkStart w:colFirst="0" w:colLast="0" w:name="_4e2qvqw9on3y" w:id="4"/>
      <w:bookmarkEnd w:id="4"/>
      <w:r w:rsidDel="00000000" w:rsidR="00000000" w:rsidRPr="00000000">
        <w:rPr>
          <w:rFonts w:ascii="Lora" w:cs="Lora" w:eastAsia="Lora" w:hAnsi="Lora"/>
          <w:rtl w:val="0"/>
        </w:rPr>
        <w:t xml:space="preserve">Prior Solutions</w:t>
      </w:r>
    </w:p>
    <w:p w:rsidR="00000000" w:rsidDel="00000000" w:rsidP="00000000" w:rsidRDefault="00000000" w:rsidRPr="00000000" w14:paraId="0000000E">
      <w:pPr>
        <w:pStyle w:val="Heading2"/>
        <w:rPr>
          <w:rFonts w:ascii="Lora" w:cs="Lora" w:eastAsia="Lora" w:hAnsi="Lora"/>
        </w:rPr>
      </w:pPr>
      <w:bookmarkStart w:colFirst="0" w:colLast="0" w:name="_ll8p5ht17ilf" w:id="5"/>
      <w:bookmarkEnd w:id="5"/>
      <w:r w:rsidDel="00000000" w:rsidR="00000000" w:rsidRPr="00000000">
        <w:rPr>
          <w:rFonts w:ascii="Lora" w:cs="Lora" w:eastAsia="Lora" w:hAnsi="Lora"/>
          <w:rtl w:val="0"/>
        </w:rPr>
        <w:t xml:space="preserve">Independent Research</w:t>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tl w:val="0"/>
        </w:rPr>
        <w:t xml:space="preserve">Most answers to the questions users have about AI aren’t consolidated, and are instead contained in various news stories, blog posts, and academic articles.</w:t>
      </w:r>
    </w:p>
    <w:p w:rsidR="00000000" w:rsidDel="00000000" w:rsidP="00000000" w:rsidRDefault="00000000" w:rsidRPr="00000000" w14:paraId="00000010">
      <w:pPr>
        <w:rPr>
          <w:rFonts w:ascii="Lora" w:cs="Lora" w:eastAsia="Lora" w:hAnsi="Lora"/>
          <w:sz w:val="24"/>
          <w:szCs w:val="24"/>
        </w:rPr>
      </w:pPr>
      <w:r w:rsidDel="00000000" w:rsidR="00000000" w:rsidRPr="00000000">
        <w:rPr>
          <w:rFonts w:ascii="Lora" w:cs="Lora" w:eastAsia="Lora" w:hAnsi="Lora"/>
          <w:sz w:val="24"/>
          <w:szCs w:val="24"/>
          <w:rtl w:val="0"/>
        </w:rPr>
        <w:t xml:space="preserve">This means that a user is required to choose a search engine, type in keywords, then filter through the extreme number of results. These search engines could be Google, Bing, or even an academic database like Jstor. The keywords you will need aren’t always obvious: It often takes several tries to have the search return something useful. Finally, the accuracy of what you find is not always satisfactory, but identifying when that is the case requires a lot of additional research. You are then forced to return to all of the steps above.</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sz w:val="24"/>
          <w:szCs w:val="24"/>
        </w:rPr>
      </w:pPr>
      <w:r w:rsidDel="00000000" w:rsidR="00000000" w:rsidRPr="00000000">
        <w:rPr>
          <w:rFonts w:ascii="Lora" w:cs="Lora" w:eastAsia="Lora" w:hAnsi="Lora"/>
          <w:sz w:val="24"/>
          <w:szCs w:val="24"/>
          <w:rtl w:val="0"/>
        </w:rPr>
        <w:t xml:space="preserve">Our App will consolidate this information and </w:t>
      </w:r>
      <w:commentRangeStart w:id="0"/>
      <w:commentRangeStart w:id="1"/>
      <w:r w:rsidDel="00000000" w:rsidR="00000000" w:rsidRPr="00000000">
        <w:rPr>
          <w:rFonts w:ascii="Lora" w:cs="Lora" w:eastAsia="Lora" w:hAnsi="Lora"/>
          <w:sz w:val="24"/>
          <w:szCs w:val="24"/>
          <w:rtl w:val="0"/>
        </w:rPr>
        <w:t xml:space="preserve">repackage it in a form more approachable by the average user</w:t>
      </w:r>
      <w:commentRangeEnd w:id="0"/>
      <w:r w:rsidDel="00000000" w:rsidR="00000000" w:rsidRPr="00000000">
        <w:commentReference w:id="0"/>
      </w:r>
      <w:commentRangeEnd w:id="1"/>
      <w:r w:rsidDel="00000000" w:rsidR="00000000" w:rsidRPr="00000000">
        <w:commentReference w:id="1"/>
      </w:r>
      <w:r w:rsidDel="00000000" w:rsidR="00000000" w:rsidRPr="00000000">
        <w:rPr>
          <w:rFonts w:ascii="Lora" w:cs="Lora" w:eastAsia="Lora" w:hAnsi="Lora"/>
          <w:sz w:val="24"/>
          <w:szCs w:val="24"/>
          <w:rtl w:val="0"/>
        </w:rPr>
        <w:t xml:space="preserve">. It would all be on a single website, with different subjects put into their own modules, clearly labeled, and with many tags to help show what is inside of it.</w:t>
      </w:r>
    </w:p>
    <w:p w:rsidR="00000000" w:rsidDel="00000000" w:rsidP="00000000" w:rsidRDefault="00000000" w:rsidRPr="00000000" w14:paraId="0000001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2527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Fonts w:ascii="Lora" w:cs="Lora" w:eastAsia="Lora" w:hAnsi="Lora"/>
          <w:sz w:val="24"/>
          <w:szCs w:val="24"/>
          <w:rtl w:val="0"/>
        </w:rPr>
        <w:br w:type="textWrapping"/>
        <w:br w:type="textWrapping"/>
      </w:r>
      <w:hyperlink r:id="rId8">
        <w:r w:rsidDel="00000000" w:rsidR="00000000" w:rsidRPr="00000000">
          <w:rPr>
            <w:rFonts w:ascii="Lora" w:cs="Lora" w:eastAsia="Lora" w:hAnsi="Lora"/>
            <w:color w:val="1155cc"/>
            <w:sz w:val="24"/>
            <w:szCs w:val="24"/>
            <w:u w:val="single"/>
            <w:rtl w:val="0"/>
          </w:rPr>
          <w:t xml:space="preserve">https://miro.com/app/board/uXjVJ-_pJow=/</w:t>
        </w:r>
      </w:hyperlink>
      <w:r w:rsidDel="00000000" w:rsidR="00000000" w:rsidRPr="00000000">
        <w:rPr>
          <w:rtl w:val="0"/>
        </w:rPr>
      </w:r>
    </w:p>
    <w:p w:rsidR="00000000" w:rsidDel="00000000" w:rsidP="00000000" w:rsidRDefault="00000000" w:rsidRPr="00000000" w14:paraId="00000015">
      <w:pPr>
        <w:rPr>
          <w:rFonts w:ascii="Lora" w:cs="Lora" w:eastAsia="Lora" w:hAnsi="Lora"/>
          <w:sz w:val="24"/>
          <w:szCs w:val="24"/>
        </w:rPr>
      </w:pPr>
      <w:r w:rsidDel="00000000" w:rsidR="00000000" w:rsidRPr="00000000">
        <w:rPr>
          <w:rFonts w:ascii="Lora" w:cs="Lora" w:eastAsia="Lora" w:hAnsi="Lora"/>
          <w:sz w:val="24"/>
          <w:szCs w:val="24"/>
          <w:rtl w:val="0"/>
        </w:rPr>
        <w:t xml:space="preserve">(if link fails, contact Nico)</w:t>
      </w:r>
    </w:p>
    <w:p w:rsidR="00000000" w:rsidDel="00000000" w:rsidP="00000000" w:rsidRDefault="00000000" w:rsidRPr="00000000" w14:paraId="00000016">
      <w:pPr>
        <w:pStyle w:val="Heading2"/>
        <w:rPr>
          <w:rFonts w:ascii="Lora" w:cs="Lora" w:eastAsia="Lora" w:hAnsi="Lora"/>
          <w:sz w:val="24"/>
          <w:szCs w:val="24"/>
        </w:rPr>
      </w:pPr>
      <w:bookmarkStart w:colFirst="0" w:colLast="0" w:name="_dsgm58dc0wu" w:id="6"/>
      <w:bookmarkEnd w:id="6"/>
      <w:r w:rsidDel="00000000" w:rsidR="00000000" w:rsidRPr="00000000">
        <w:rPr>
          <w:rFonts w:ascii="Lora" w:cs="Lora" w:eastAsia="Lora" w:hAnsi="Lora"/>
          <w:rtl w:val="0"/>
        </w:rPr>
        <w:t xml:space="preserve">Google’s AI Quests</w:t>
      </w:r>
      <w:r w:rsidDel="00000000" w:rsidR="00000000" w:rsidRPr="00000000">
        <w:rPr>
          <w:rtl w:val="0"/>
        </w:rPr>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Google AI Quest is an interactive, narrative focused website experience that teaches the principles of AI in an abstracted manner that is intended toward a younger demographic. The webpage allows the user to capture various forms of data, and then build “models” based on chosen data items. The design is colorful and engaging- if a little overwhelming at times. It’s an overall decent representation of the deep learning process in a non-technical way; though it comes at the pitfall of seeming irrelevant to AI at times for anyone that is not familiar with it. </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Our interactive site will approach it in a slightly more informative manner. Rather than teaching through a case study/narrative, we will be more direct. Where things in the Google AI quest were largely “metaphors” for what is going on technically, we will (at a high level that requires no computer science background) explain it in a way that enables understanding and direct ties to the process</w:t>
      </w:r>
      <w:commentRangeStart w:id="2"/>
      <w:commentRangeStart w:id="3"/>
      <w:r w:rsidDel="00000000" w:rsidR="00000000" w:rsidRPr="00000000">
        <w:rPr>
          <w:rFonts w:ascii="Lora" w:cs="Lora" w:eastAsia="Lora" w:hAnsi="Lora"/>
          <w:sz w:val="24"/>
          <w:szCs w:val="24"/>
          <w:rtl w:val="0"/>
        </w:rPr>
        <w:t xml:space="preserve">. For example, we will have a visualized graphic in the website that starts by showing an example of a prompt, breaking it down into the keywords, those get distributed into visualizations of “nodes”, which then goes to show the visualization of the first hidden layer. From there, we show how the process continues by gradually building the neural map out, explaining each step. This is an example of how we will directly demonstrate the deep learning process in such a way that no computing background is needed. </w:t>
      </w:r>
      <w:commentRangeEnd w:id="2"/>
      <w:r w:rsidDel="00000000" w:rsidR="00000000" w:rsidRPr="00000000">
        <w:commentReference w:id="2"/>
      </w:r>
      <w:commentRangeEnd w:id="3"/>
      <w:r w:rsidDel="00000000" w:rsidR="00000000" w:rsidRPr="00000000">
        <w:commentReference w:id="3"/>
      </w:r>
      <w:r w:rsidDel="00000000" w:rsidR="00000000" w:rsidRPr="00000000">
        <w:rPr>
          <w:rFonts w:ascii="Lora" w:cs="Lora" w:eastAsia="Lora" w:hAnsi="Lora"/>
          <w:sz w:val="24"/>
          <w:szCs w:val="24"/>
          <w:rtl w:val="0"/>
        </w:rPr>
        <w:t xml:space="preserve">We will also expand our range to have more mention of the legal, ethical, and other intersections which must be discussed in regards to AI</w:t>
      </w:r>
      <w:r w:rsidDel="00000000" w:rsidR="00000000" w:rsidRPr="00000000">
        <w:rPr>
          <w:rFonts w:ascii="Lora" w:cs="Lora" w:eastAsia="Lora" w:hAnsi="Lora"/>
          <w:sz w:val="24"/>
          <w:szCs w:val="24"/>
          <w:rtl w:val="0"/>
        </w:rPr>
        <w:t xml:space="preserve">- something that is needed, that Google AI quests doesn’t have. </w:t>
      </w:r>
      <w:r w:rsidDel="00000000" w:rsidR="00000000" w:rsidRPr="00000000">
        <w:rPr>
          <w:rFonts w:ascii="Lora" w:cs="Lora" w:eastAsia="Lora" w:hAnsi="Lora"/>
          <w:sz w:val="24"/>
          <w:szCs w:val="24"/>
          <w:rtl w:val="0"/>
        </w:rPr>
        <w:t xml:space="preserve">We will also design this tool to be more for an adult audience, </w:t>
      </w:r>
      <w:commentRangeStart w:id="4"/>
      <w:commentRangeStart w:id="5"/>
      <w:r w:rsidDel="00000000" w:rsidR="00000000" w:rsidRPr="00000000">
        <w:rPr>
          <w:rFonts w:ascii="Lora" w:cs="Lora" w:eastAsia="Lora" w:hAnsi="Lora"/>
          <w:sz w:val="24"/>
          <w:szCs w:val="24"/>
          <w:rtl w:val="0"/>
        </w:rPr>
        <w:t xml:space="preserve">while keeping it simple enough that </w:t>
      </w:r>
      <w:commentRangeEnd w:id="4"/>
      <w:r w:rsidDel="00000000" w:rsidR="00000000" w:rsidRPr="00000000">
        <w:commentReference w:id="4"/>
      </w:r>
      <w:commentRangeEnd w:id="5"/>
      <w:r w:rsidDel="00000000" w:rsidR="00000000" w:rsidRPr="00000000">
        <w:commentReference w:id="5"/>
      </w:r>
      <w:r w:rsidDel="00000000" w:rsidR="00000000" w:rsidRPr="00000000">
        <w:rPr>
          <w:rFonts w:ascii="Lora" w:cs="Lora" w:eastAsia="Lora" w:hAnsi="Lora"/>
          <w:sz w:val="24"/>
          <w:szCs w:val="24"/>
          <w:rtl w:val="0"/>
        </w:rPr>
        <w:t xml:space="preserve">no prior computing expertise or college background is needed to be understood, since we will be using simple images and non-technical explanations of what is going on behind the scenes, as detailed above. </w:t>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319713" cy="18073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19713" cy="1807338"/>
                    </a:xfrm>
                    <a:prstGeom prst="rect"/>
                    <a:ln/>
                  </pic:spPr>
                </pic:pic>
              </a:graphicData>
            </a:graphic>
          </wp:inline>
        </w:drawing>
      </w:r>
      <w:r w:rsidDel="00000000" w:rsidR="00000000" w:rsidRPr="00000000">
        <w:rPr>
          <w:rFonts w:ascii="Lora" w:cs="Lora" w:eastAsia="Lora" w:hAnsi="Lora"/>
          <w:sz w:val="24"/>
          <w:szCs w:val="24"/>
          <w:rtl w:val="0"/>
        </w:rPr>
        <w:br w:type="textWrapping"/>
      </w:r>
      <w:hyperlink r:id="rId10">
        <w:r w:rsidDel="00000000" w:rsidR="00000000" w:rsidRPr="00000000">
          <w:rPr>
            <w:rFonts w:ascii="Lora" w:cs="Lora" w:eastAsia="Lora" w:hAnsi="Lora"/>
            <w:color w:val="1155cc"/>
            <w:sz w:val="24"/>
            <w:szCs w:val="24"/>
            <w:u w:val="single"/>
            <w:rtl w:val="0"/>
          </w:rPr>
          <w:t xml:space="preserve">https://miro.com/welcomeonboard/TC9iTVR2ZzZubnY4NU5Kbzg0SEczbFd0OXFaSjlaTFl5akpycG9iWHI1UW1vdUFIc3hHMnRJT0liQWp3eUtobDJpK3cyemVPTWxBOUdNVmtxRzE1TzJKNXQ0WnVpNzdWdFhqTjlocHNaMU9ub1JxS2V6YlQ3dHlRUjd3NHZQK0RBd044SHFHaVlWYWk0d3NxeHNmeG9BPT0hdjE=?share_link_id=812275494539</w:t>
        </w:r>
      </w:hyperlink>
      <w:r w:rsidDel="00000000" w:rsidR="00000000" w:rsidRPr="00000000">
        <w:rPr>
          <w:rFonts w:ascii="Lora" w:cs="Lora" w:eastAsia="Lora" w:hAnsi="Lora"/>
          <w:sz w:val="24"/>
          <w:szCs w:val="24"/>
          <w:rtl w:val="0"/>
        </w:rPr>
        <w:t xml:space="preserve"> (if link fails, contact Isabel)</w:t>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pStyle w:val="Heading2"/>
        <w:rPr>
          <w:rFonts w:ascii="Lora" w:cs="Lora" w:eastAsia="Lora" w:hAnsi="Lora"/>
        </w:rPr>
      </w:pPr>
      <w:bookmarkStart w:colFirst="0" w:colLast="0" w:name="_l5ma0sd0k5kv" w:id="7"/>
      <w:bookmarkEnd w:id="7"/>
      <w:r w:rsidDel="00000000" w:rsidR="00000000" w:rsidRPr="00000000">
        <w:rPr>
          <w:rFonts w:ascii="Lora" w:cs="Lora" w:eastAsia="Lora" w:hAnsi="Lora"/>
          <w:rtl w:val="0"/>
        </w:rPr>
        <w:t xml:space="preserve">Prompt Perfect</w:t>
      </w: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Fonts w:ascii="Lora" w:cs="Lora" w:eastAsia="Lora" w:hAnsi="Lora"/>
          <w:sz w:val="24"/>
          <w:szCs w:val="24"/>
          <w:rtl w:val="0"/>
        </w:rPr>
        <w:t xml:space="preserve">Prompt Perfect is a web-based tool that helps users create more effective prompts for artificial intelligence systems such as ChatGPT or other large language models. The user types in a short or unclear prompt, and the tool rewrites it into a more detailed and precise version that produces better results. Its main goal is to improve the quality and accuracy of AI-generated responses by guiding users to communicate more clearly with the model. In this way, Prompt Perfect serves as a bridge between everyday users and complex AI systems, making advanced AI tools easier to use and more reliable.</w:t>
      </w:r>
    </w:p>
    <w:p w:rsidR="00000000" w:rsidDel="00000000" w:rsidP="00000000" w:rsidRDefault="00000000" w:rsidRPr="00000000" w14:paraId="000000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sz w:val="24"/>
          <w:szCs w:val="24"/>
        </w:rPr>
      </w:pPr>
      <w:r w:rsidDel="00000000" w:rsidR="00000000" w:rsidRPr="00000000">
        <w:rPr>
          <w:rFonts w:ascii="Lora" w:cs="Lora" w:eastAsia="Lora" w:hAnsi="Lora"/>
          <w:sz w:val="24"/>
          <w:szCs w:val="24"/>
          <w:rtl w:val="0"/>
        </w:rPr>
        <w:t xml:space="preserve">Unlike Prompt Perfect, which focuses on helping users refine their prompts for AI tools, our interactive app is designed to teach people about AI itself. It helps users understand how AI works, what its limitations are, and why those limitations matter. </w:t>
      </w:r>
      <w:commentRangeStart w:id="6"/>
      <w:commentRangeStart w:id="7"/>
      <w:r w:rsidDel="00000000" w:rsidR="00000000" w:rsidRPr="00000000">
        <w:rPr>
          <w:rFonts w:ascii="Lora" w:cs="Lora" w:eastAsia="Lora" w:hAnsi="Lora"/>
          <w:sz w:val="24"/>
          <w:szCs w:val="24"/>
          <w:rtl w:val="0"/>
        </w:rPr>
        <w:t xml:space="preserve">Instead of improving AI performance</w:t>
      </w:r>
      <w:commentRangeEnd w:id="6"/>
      <w:r w:rsidDel="00000000" w:rsidR="00000000" w:rsidRPr="00000000">
        <w:commentReference w:id="6"/>
      </w:r>
      <w:commentRangeEnd w:id="7"/>
      <w:r w:rsidDel="00000000" w:rsidR="00000000" w:rsidRPr="00000000">
        <w:commentReference w:id="7"/>
      </w:r>
      <w:r w:rsidDel="00000000" w:rsidR="00000000" w:rsidRPr="00000000">
        <w:rPr>
          <w:rFonts w:ascii="Lora" w:cs="Lora" w:eastAsia="Lora" w:hAnsi="Lora"/>
          <w:sz w:val="24"/>
          <w:szCs w:val="24"/>
          <w:rtl w:val="0"/>
        </w:rPr>
        <w:t xml:space="preserve">, our app focuses on improving AI understanding. It gathers reliable information from multiple sources and presents it in a clear, engaging, and interactive way. While Prompt Perfect also helps users create better prompts, our app goes further by helping them use AI more efficiently through a deeper understanding of how it works and how to apply that knowledge effectively.</w:t>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2824163" cy="377460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24163" cy="377460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ora" w:cs="Lora" w:eastAsia="Lora" w:hAnsi="Lora"/>
          <w:sz w:val="24"/>
          <w:szCs w:val="24"/>
        </w:rPr>
      </w:pPr>
      <w:hyperlink r:id="rId12">
        <w:r w:rsidDel="00000000" w:rsidR="00000000" w:rsidRPr="00000000">
          <w:rPr>
            <w:rFonts w:ascii="Lora" w:cs="Lora" w:eastAsia="Lora" w:hAnsi="Lora"/>
            <w:color w:val="1155cc"/>
            <w:sz w:val="24"/>
            <w:szCs w:val="24"/>
            <w:u w:val="single"/>
            <w:rtl w:val="0"/>
          </w:rPr>
          <w:t xml:space="preserve">https://miro.com/app/board/uXjVIkd-L_w=/?share_link_id=449742756742</w:t>
        </w:r>
      </w:hyperlink>
      <w:r w:rsidDel="00000000" w:rsidR="00000000" w:rsidRPr="00000000">
        <w:rPr>
          <w:rFonts w:ascii="Lora" w:cs="Lora" w:eastAsia="Lora" w:hAnsi="Lora"/>
          <w:sz w:val="24"/>
          <w:szCs w:val="24"/>
          <w:rtl w:val="0"/>
        </w:rPr>
        <w:t xml:space="preserve"> (if this link does not work, please message Claire)</w:t>
      </w:r>
    </w:p>
    <w:p w:rsidR="00000000" w:rsidDel="00000000" w:rsidP="00000000" w:rsidRDefault="00000000" w:rsidRPr="00000000" w14:paraId="0000002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pStyle w:val="Heading2"/>
        <w:rPr>
          <w:rFonts w:ascii="Lora" w:cs="Lora" w:eastAsia="Lora" w:hAnsi="Lora"/>
        </w:rPr>
      </w:pPr>
      <w:bookmarkStart w:colFirst="0" w:colLast="0" w:name="_59fp0cwp20oe" w:id="8"/>
      <w:bookmarkEnd w:id="8"/>
      <w:r w:rsidDel="00000000" w:rsidR="00000000" w:rsidRPr="00000000">
        <w:rPr>
          <w:rFonts w:ascii="Lora" w:cs="Lora" w:eastAsia="Lora" w:hAnsi="Lora"/>
          <w:rtl w:val="0"/>
        </w:rPr>
        <w:t xml:space="preserve">Gogy</w:t>
      </w:r>
    </w:p>
    <w:p w:rsidR="00000000" w:rsidDel="00000000" w:rsidP="00000000" w:rsidRDefault="00000000" w:rsidRPr="00000000" w14:paraId="00000028">
      <w:pPr>
        <w:rPr>
          <w:rFonts w:ascii="Lora" w:cs="Lora" w:eastAsia="Lora" w:hAnsi="Lora"/>
          <w:sz w:val="24"/>
          <w:szCs w:val="24"/>
        </w:rPr>
      </w:pPr>
      <w:r w:rsidDel="00000000" w:rsidR="00000000" w:rsidRPr="00000000">
        <w:rPr>
          <w:rFonts w:ascii="Lora" w:cs="Lora" w:eastAsia="Lora" w:hAnsi="Lora"/>
          <w:sz w:val="24"/>
          <w:szCs w:val="24"/>
          <w:rtl w:val="0"/>
        </w:rPr>
        <w:t xml:space="preserve">Our application, Gogy, will be a web based, interactive set of learning modules that will guide users through learning how to become more conscientious users of AI. These modules will cover topics such as use cases for AI, prompt engineering, user rights, and effects of bias in training data.</w:t>
      </w:r>
    </w:p>
    <w:p w:rsidR="00000000" w:rsidDel="00000000" w:rsidP="00000000" w:rsidRDefault="00000000" w:rsidRPr="00000000" w14:paraId="00000029">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1587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Lora" w:cs="Lora" w:eastAsia="Lora" w:hAnsi="Lora"/>
          <w:sz w:val="24"/>
          <w:szCs w:val="24"/>
        </w:rPr>
      </w:pPr>
      <w:hyperlink r:id="rId14">
        <w:r w:rsidDel="00000000" w:rsidR="00000000" w:rsidRPr="00000000">
          <w:rPr>
            <w:rFonts w:ascii="Lora" w:cs="Lora" w:eastAsia="Lora" w:hAnsi="Lora"/>
            <w:color w:val="1155cc"/>
            <w:sz w:val="24"/>
            <w:szCs w:val="24"/>
            <w:u w:val="single"/>
            <w:rtl w:val="0"/>
          </w:rPr>
          <w:t xml:space="preserve">https://miro.com/welcomeonboard/YUpHTjlabFFVdzNncWNVWnVzR2hUWW4vSkgyQW5Kck5rdnhjMHFlTXQ4MDlWNXJMaUV2R1VTbXN3V2d1NDZSRWRBdkVpUFVwb0pxVlhhK05JSW5EeG1KNXQ0WnVpNzdWdFhqTjlocHNaMU44SW9MOW5yYmU2UC9GUUVOejlVMVFhWWluRVAxeXRuUUgwWDl3Mk1qRGVRPT0hdjE=?share_link_id=711083333687</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rPr>
          <w:rFonts w:ascii="Lora" w:cs="Lora" w:eastAsia="Lora" w:hAnsi="Lora"/>
          <w:sz w:val="24"/>
          <w:szCs w:val="24"/>
        </w:rPr>
      </w:pPr>
      <w:r w:rsidDel="00000000" w:rsidR="00000000" w:rsidRPr="00000000">
        <w:rPr>
          <w:rFonts w:ascii="Lora" w:cs="Lora" w:eastAsia="Lora" w:hAnsi="Lora"/>
          <w:sz w:val="24"/>
          <w:szCs w:val="24"/>
          <w:rtl w:val="0"/>
        </w:rPr>
        <w:t xml:space="preserve">Gogy will have a landing page that lists the individual learning modules that the user can complete. This will also display whether or not the user has passed the check for understanding on each individual element. The user must complete the interactive section of each module in order to reach the check for understanding. If the user fails the check for understanding, they have the option to go back and redo the interactive section of the module. However, they are not required to do this in order to retake the check for understanding.</w:t>
        <w:br w:type="textWrapping"/>
      </w:r>
    </w:p>
    <w:p w:rsidR="00000000" w:rsidDel="00000000" w:rsidP="00000000" w:rsidRDefault="00000000" w:rsidRPr="00000000" w14:paraId="0000002D">
      <w:pPr>
        <w:rPr/>
      </w:pPr>
      <w:r w:rsidDel="00000000" w:rsidR="00000000" w:rsidRPr="00000000">
        <w:rPr>
          <w:rFonts w:ascii="Lora" w:cs="Lora" w:eastAsia="Lora" w:hAnsi="Lora"/>
          <w:sz w:val="24"/>
          <w:szCs w:val="24"/>
          <w:rtl w:val="0"/>
        </w:rPr>
        <w:t xml:space="preserve">Gogy will seek to foster a broader understanding of  AI use cases, the mechanisms behind generation, and how generative AI use can directly impact the user. This will be in addition to instruction in prompt engineering. Previous apps have typically chosen to focus on one and not the other, which has left the user with incomplete knowledge after their experience. Because this will be a consolidated platform that will seek to be intellectually engaging, it will be more targeted towards adult users. This is an untapped market in AI education learning modules.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5-10-09T01:12:1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unclear, “repackage it in a form more approachable by the average user”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describe the module system and how it will be “packaged” in a sentence, so the claim that it will be more approachable is substantiated. Adding after this a "For example, ..." is a good way to do that</w:t>
      </w:r>
    </w:p>
  </w:comment>
  <w:comment w:author="Isabel Layland" w:id="1" w:date="2025-10-15T20:44:3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how it would be more approachable. Mostly via organization and labeling.</w:t>
      </w:r>
    </w:p>
  </w:comment>
  <w:comment w:author="Gregory Nelson" w:id="6" w:date="2025-10-09T01:14:4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your problem statement and app description, this claim is not true, your app is also supporting learners to use AI more effectively? Or am I misunderstanding something?</w:t>
      </w:r>
    </w:p>
  </w:comment>
  <w:comment w:author="Kate Martell" w:id="7" w:date="2025-10-16T00:56:2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 is not improving the performance of AI, it is helping users understand how to use AI. This sentence does explain our app!</w:t>
      </w:r>
    </w:p>
  </w:comment>
  <w:comment w:author="Gregory Nelson" w:id="2" w:date="2025-10-09T01:09:2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needs a "for example, ..." and replace ... with an actual concrete example of what your app will do instead</w:t>
      </w:r>
    </w:p>
  </w:comment>
  <w:comment w:author="Claire Kelley" w:id="3" w:date="2025-10-15T12:23:1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Addressed this by including a detailed description of how we are planning on implementing this visualization of the concepts.</w:t>
      </w:r>
    </w:p>
  </w:comment>
  <w:comment w:author="Gregory Nelson" w:id="4" w:date="2025-10-09T01:11:17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hard thing to do, either add an example with "for example, we will ..." or cut this claim. Or you could say the reading level or other prior knowledge that will be required for the learners to learn successfully.</w:t>
      </w:r>
    </w:p>
  </w:comment>
  <w:comment w:author="Claire Kelley" w:id="5" w:date="2025-10-15T12:28:5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addressed this by instead of noting a younger demographic, changing it to explain that no prior computing/college level knowledge is needed to understand what we are saying. Added an example too to help clarify.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miro.com/welcomeonboard/TC9iTVR2ZzZubnY4NU5Kbzg0SEczbFd0OXFaSjlaTFl5akpycG9iWHI1UW1vdUFIc3hHMnRJT0liQWp3eUtobDJpK3cyemVPTWxBOUdNVmtxRzE1TzJKNXQ0WnVpNzdWdFhqTjlocHNaMU9ub1JxS2V6YlQ3dHlRUjd3NHZQK0RBd044SHFHaVlWYWk0d3NxeHNmeG9BPT0hdjE=?share_link_id=812275494539" TargetMode="External"/><Relationship Id="rId13" Type="http://schemas.openxmlformats.org/officeDocument/2006/relationships/image" Target="media/image4.png"/><Relationship Id="rId12" Type="http://schemas.openxmlformats.org/officeDocument/2006/relationships/hyperlink" Target="https://miro.com/app/board/uXjVIkd-L_w=/?share_link_id=44974275674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miro.com/welcomeonboard/YUpHTjlabFFVdzNncWNVWnVzR2hUWW4vSkgyQW5Kck5rdnhjMHFlTXQ4MDlWNXJMaUV2R1VTbXN3V2d1NDZSRWRBdkVpUFVwb0pxVlhhK05JSW5EeG1KNXQ0WnVpNzdWdFhqTjlocHNaMU44SW9MOW5yYmU2UC9GUUVOejlVMVFhWWluRVAxeXRuUUgwWDl3Mk1qRGVRPT0hdjE=?share_link_id=71108333368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miro.com/app/board/uXjVJ-_pJ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