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Account Management System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8979408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9408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Link to Miro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sz w:val="32"/>
          <w:szCs w:val="32"/>
        </w:rPr>
        <w:sectPr>
          <w:headerReference r:id="rId9" w:type="default"/>
          <w:headerReference r:id="rId10" w:type="first"/>
          <w:footerReference r:id="rId11" w:type="first"/>
          <w:pgSz w:h="12240" w:w="15840" w:orient="landscape"/>
          <w:pgMar w:bottom="288" w:top="288" w:left="849.5999999999999" w:right="849.5999999999999" w:header="284" w:footer="2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Descriptions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Register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3139009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create a new account to engage with the platform. No personal information is collected on users during registration, other than an email address.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not already registered and is on the registration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account is created, and the user is given access to the platform without revealing their identity in any of their actions.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30"/>
        <w:gridCol w:w="1215"/>
        <w:gridCol w:w="7470"/>
        <w:tblGridChange w:id="0">
          <w:tblGrid>
            <w:gridCol w:w="885"/>
            <w:gridCol w:w="930"/>
            <w:gridCol w:w="1215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Navigates to the registration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Enters their email address and chooses a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'Register'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Validates the email format and password strength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Creates a new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Sends an email confirmation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Checks their email and confirms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Activates the account and grants access to the platform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to Account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 to Account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3139010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Existing users can securely log into their accounts to access platform features. The system ensures that post-login, the user's activity remains anonymous to other users.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a registered account and is on the login page.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successfully logged in and can interact on the platform, always maintaining their anonymity.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30"/>
        <w:gridCol w:w="1065"/>
        <w:gridCol w:w="7665"/>
        <w:tblGridChange w:id="0">
          <w:tblGrid>
            <w:gridCol w:w="840"/>
            <w:gridCol w:w="930"/>
            <w:gridCol w:w="106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Navigates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Enters their email address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'Login'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Validates the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Logs the user into the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Redirects the user to the main dashboard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Reset Password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3139011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If users forget their password, they can initiate a reset process. During this, their identity is never exposed, and anonymity remains a core principle of the reset process.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forgotten their password and initiates a reset request.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receives a secure method to set a new password, ensuring they can access their account while still preserving their anonymity.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45"/>
        <w:gridCol w:w="1095"/>
        <w:gridCol w:w="7680"/>
        <w:tblGridChange w:id="0">
          <w:tblGrid>
            <w:gridCol w:w="780"/>
            <w:gridCol w:w="945"/>
            <w:gridCol w:w="1095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'Forgot password?' on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Enters their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'Submit'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Sends a password reset link to the user’s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Accesses their email and clicks the reset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Enters a new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Confirms the new password by entering it again and clicks 'Reset'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Updates the password and notifies the user of the change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Update Profile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Update Profile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3139012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make changes to their account details or preferences.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 and navigates to their profile settings.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User's profile details are updated, but their public actions on the platform remain completely anonymous.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85"/>
        <w:gridCol w:w="1095"/>
        <w:gridCol w:w="7815"/>
        <w:tblGridChange w:id="0">
          <w:tblGrid>
            <w:gridCol w:w="705"/>
            <w:gridCol w:w="885"/>
            <w:gridCol w:w="109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Navigates to their profile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Edits details or 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Clicks 'Save' or 'Update Profile'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Validates the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Updates the user's profile with the new details or 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Displays a confirmation message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 Account Dashboard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View Account Dashboard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3139013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view their account dashboard to see an overview of their activities, preferences, and other relevant details. 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can review and manage their activities and settings from their dashboard, assured that their anonymity remains uncompromised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900"/>
        <w:gridCol w:w="1275"/>
        <w:gridCol w:w="7530"/>
        <w:tblGridChange w:id="0">
          <w:tblGrid>
            <w:gridCol w:w="795"/>
            <w:gridCol w:w="900"/>
            <w:gridCol w:w="127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Navigates to the account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Displays the dashboard with an overview of user activities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Reviews activities, preferences, and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Selects an item or setting to view or 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Displays the details for the selected item or editable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Returns to the dashboard or logs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Updates the display based on the user's actions or logs them out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288" w:top="288" w:left="849.5999999999999" w:right="849.5999999999999" w:header="284" w:footer="28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8" w:top="288" w:left="849.5999999999999" w:right="849.5999999999999" w:header="284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6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umBullet">
    <w:name w:val="Enum Bullet"/>
    <w:basedOn w:val="Normal"/>
    <w:next w:val="EnumBullet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ing1"/>
    <w:next w:val="Header"/>
    <w:autoRedefine w:val="0"/>
    <w:hidden w:val="0"/>
    <w:qFormat w:val="0"/>
    <w:pPr>
      <w:keepNext w:val="1"/>
      <w:pBdr>
        <w:bottom w:color="auto" w:space="1" w:sz="24" w:val="single"/>
      </w:pBdr>
      <w:tabs>
        <w:tab w:val="right" w:leader="none" w:pos="9360"/>
      </w:tabs>
      <w:suppressAutoHyphens w:val="1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Bullet"/>
    <w:basedOn w:val="Normal"/>
    <w:next w:val="ListBullet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part">
    <w:name w:val="Subpart"/>
    <w:basedOn w:val="Normal"/>
    <w:next w:val="Subpart"/>
    <w:autoRedefine w:val="0"/>
    <w:hidden w:val="0"/>
    <w:qFormat w:val="0"/>
    <w:pPr>
      <w:tabs>
        <w:tab w:val="left" w:leader="none" w:pos="864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NZ96xM0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FU0TvEp8EHNGxkGQXO9ricHXA==">CgMxLjA4AHIhMXJyZ2VYTjQ3LXh4TTZqVlMwOXdMZnRGRy1ibDRpSE00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2005-10-14T19:27:00Z</dcterms:created>
  <dc:creator>Daniel Amyot</dc:creator>
</cp:coreProperties>
</file>