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Topic tagging will be in questions to organize discussions and make searching easier.</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Read receipts will be implemented to inform users when their messages have been viewed</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The search and navigation functionalities shall return results within 3 seconds to keep the user engaged 95% of the time.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app will provide assurances to users regarding the preservation of their anonymity when using the system and will feature anonymous reporting features for issues or concerns.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 There will be a robust search functionality to help users find relevant discussions and answers and system will notify users of new messages or responses to their queries to enhance the user’s engagement.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app shall have an availability of 99% to ensure users can access it anytime they need.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app shall have security measures that prevent data breaches and unauthorized access, complying with industry security standards such as OWASP.</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Secure connections for data transmission shall be implemented using things like HTTPS, and authentication and authorization mechanisms that will adhere to OAuth 2.0 standards.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system shall comply with data protection laws and regulations like GDPR or HIPAA, as applicable.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User anonymity shall be maintained where required, and personal information shall be securely stored and managed following the GDPR guidelines. The app will implement authorization checks to ensure only the appropriate individuals can access direct communication channels.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User Interface (UI) shall be intuitive with a user satisfaction rate of at least 90% as measured through user surveys.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app shall comply with WCAG 2.1 Level AA accessibility standards to ensure usability by individuals with disabilities.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system shall provide an intuitive interface allowing users to easily express their emotions alongside technical feedback. This can be facilitated through emojis, mood selection, or textual expressions.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The platform will facilitate community moderation to maintain a positive and supportive environment. The moderation will also filter inappropriate questions or responses.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system shall have capabilities to analyze the emotional context provided by users, to help in prioritizing the feedback based on the level of distress or dissatisfaction expressed.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system should support real-time messaging with minimal latency and professors should receive prompt notifications for new messages.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 platform should facilitate networking and group formations among students and will encourage social interaction and collaboration.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Monitoring and analytics tools shall be deployed to continuously track and analyze system performance, user engagement, and other critical metrics in real-time. These tools should provide insights into system throughput, latency, error rates, and user satisfaction, enabling proactive identification and resolution of potential issues before they impact the user experience.</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app shall be compatible across web, IOS, and Android platforms, providing a consistent user experience with a compatibility rate of at least 95%.</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Allow users to control their privacy settings to manage who can see their profile and interact with them and to customize the interface to meet their academic needs and preferences.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platform should offer academic-focused features distinct from general-purpose platforms and easy access to connect with alumni and other mentors.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Comprehensive documentation shall be provided for end-users and administrators to understand the system's functionalities and best practices, with a documentation coverage of at least 95%.</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system shall be designed to consume resources (such as CPU, memory, and storage) efficiently to reduce operational costs and environmental impact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All text and user interfaces shall be easily translatable, and date, time, currency, and other region-specific formats shall be automatically adjusted based on the user's locale.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app should be able to integrate seamlessly with other systems, third-party APIs, and platforms that it may interact with.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platform should be available 24/7 to assist students whenever they need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