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000000"/>
          <w:sz w:val="46"/>
        </w:rPr>
        <w:t>COSMOS PROPRIETARY COMPUTATIONAL ENGINEERING ARCHITECTURE</w:t>
      </w:r>
    </w:p>
    <w:p>
      <w:pPr>
        <w:spacing w:after="240"/>
      </w:pPr>
      <w:r>
        <w:rPr>
          <w:rFonts w:ascii="Calibri" w:hAnsi="Calibri"/>
          <w:i/>
          <w:color w:val="5A606C"/>
          <w:sz w:val="25"/>
        </w:rPr>
        <w:t>Architecture pattern, intellectual-property doctrine, RAG knowledge foundation, CAD/topology generation workflow, simulation validation loop, UI/UX strategy, and engineering documentation system</w:t>
      </w:r>
    </w:p>
    <w:p>
      <w:pPr>
        <w:spacing w:before="0" w:after="40"/>
      </w:pPr>
      <w:r>
        <w:rPr>
          <w:rFonts w:ascii="Calibri" w:hAnsi="Calibri"/>
          <w:b/>
          <w:color w:val="000000"/>
          <w:sz w:val="22"/>
        </w:rPr>
        <w:t xml:space="preserve">Project: </w:t>
      </w:r>
      <w:r>
        <w:rPr>
          <w:rFonts w:ascii="Calibri" w:hAnsi="Calibri"/>
          <w:color w:val="000000"/>
          <w:sz w:val="22"/>
        </w:rPr>
        <w:t>COSMOS - Cryogenic Optimization and Simulation Multiphysics Operating System</w:t>
      </w:r>
    </w:p>
    <w:p>
      <w:pPr>
        <w:spacing w:before="0" w:after="40"/>
      </w:pPr>
      <w:r>
        <w:rPr>
          <w:rFonts w:ascii="Calibri" w:hAnsi="Calibri"/>
          <w:b/>
          <w:color w:val="000000"/>
          <w:sz w:val="22"/>
        </w:rPr>
        <w:t xml:space="preserve">Document Type: </w:t>
      </w:r>
      <w:r>
        <w:rPr>
          <w:rFonts w:ascii="Calibri" w:hAnsi="Calibri"/>
          <w:color w:val="000000"/>
          <w:sz w:val="22"/>
        </w:rPr>
        <w:t>Internal architecture and product-development specification</w:t>
      </w:r>
    </w:p>
    <w:p>
      <w:pPr>
        <w:spacing w:before="0" w:after="40"/>
      </w:pPr>
      <w:r>
        <w:rPr>
          <w:rFonts w:ascii="Calibri" w:hAnsi="Calibri"/>
          <w:b/>
          <w:color w:val="000000"/>
          <w:sz w:val="22"/>
        </w:rPr>
        <w:t xml:space="preserve">Status: </w:t>
      </w:r>
      <w:r>
        <w:rPr>
          <w:rFonts w:ascii="Calibri" w:hAnsi="Calibri"/>
          <w:color w:val="000000"/>
          <w:sz w:val="22"/>
        </w:rPr>
        <w:t>Draft for founder/engineering review</w:t>
      </w:r>
    </w:p>
    <w:p>
      <w:pPr>
        <w:spacing w:before="0" w:after="40"/>
      </w:pPr>
      <w:r>
        <w:rPr>
          <w:rFonts w:ascii="Calibri" w:hAnsi="Calibri"/>
          <w:b/>
          <w:color w:val="000000"/>
          <w:sz w:val="22"/>
        </w:rPr>
        <w:t xml:space="preserve">Prepared On: </w:t>
      </w:r>
      <w:r>
        <w:rPr>
          <w:rFonts w:ascii="Calibri" w:hAnsi="Calibri"/>
          <w:color w:val="000000"/>
          <w:sz w:val="22"/>
        </w:rPr>
        <w:t>2026-07-31</w:t>
      </w:r>
    </w:p>
    <w:p>
      <w:pPr>
        <w:spacing w:before="0" w:after="40"/>
      </w:pPr>
      <w:r>
        <w:rPr>
          <w:rFonts w:ascii="Calibri" w:hAnsi="Calibri"/>
          <w:b/>
          <w:color w:val="000000"/>
          <w:sz w:val="22"/>
        </w:rPr>
        <w:t xml:space="preserve">Ownership: </w:t>
      </w:r>
      <w:r>
        <w:rPr>
          <w:rFonts w:ascii="Calibri" w:hAnsi="Calibri"/>
          <w:color w:val="000000"/>
          <w:sz w:val="22"/>
        </w:rPr>
        <w:t>Company proprietary and confidential; not a clone of any external proprietary system</w:t>
      </w:r>
    </w:p>
    <w:p>
      <w:pPr>
        <w:spacing w:before="200"/>
        <w:pBdr>
          <w:bottom w:val="single" w:sz="8" w:space="4" w:color="2E74B5"/>
        </w:pBdr>
      </w:pPr>
    </w:p>
    <w:tbl>
      <w:tblPr>
        <w:tblStyle w:val="TableGrid"/>
        <w:tblW w:type="dxa" w:w="9360"/>
        <w:jc w:val="left"/>
        <w:tblLook w:firstColumn="1" w:firstRow="1" w:lastColumn="0" w:lastRow="0" w:noHBand="0" w:noVBand="1" w:val="04A0"/>
        <w:tblInd w:w="120" w:type="dxa"/>
        <w:tblLayout w:type="fixed"/>
      </w:tblPr>
      <w:tblGrid>
        <w:gridCol w:w="9360"/>
      </w:tblGrid>
      <w:tr>
        <w:trPr>
          <w:cantSplit w:val="true"/>
        </w:trPr>
        <w:tc>
          <w:tcPr>
            <w:tcW w:type="dxa" w:w="9360"/>
            <w:vAlign w:val="center"/>
            <w:tcMar>
              <w:top w:w="80" w:type="dxa"/>
              <w:start w:w="120" w:type="dxa"/>
              <w:bottom w:w="80" w:type="dxa"/>
              <w:end w:w="120" w:type="dxa"/>
            </w:tcMar>
            <w:shd w:fill="F4F6F9"/>
          </w:tcPr>
          <w:p>
            <w:pPr>
              <w:spacing w:after="40"/>
            </w:pPr>
            <w:r>
              <w:rPr>
                <w:rFonts w:ascii="Calibri" w:hAnsi="Calibri"/>
                <w:b/>
                <w:color w:val="0B2545"/>
                <w:sz w:val="21"/>
              </w:rPr>
              <w:t>Core thesis</w:t>
            </w:r>
          </w:p>
          <w:p>
            <w:pPr>
              <w:spacing w:after="0"/>
            </w:pPr>
            <w:r>
              <w:rPr>
                <w:rFonts w:ascii="Calibri" w:hAnsi="Calibri"/>
                <w:color w:val="000000"/>
                <w:sz w:val="21"/>
              </w:rPr>
              <w:t>COSMOS shall be developed as a proprietary computational engineering compiler for liquid rocket propulsion: requirements become a validated design state, evidence-bound solvers generate engineering parameters, geometry generators compile manufacturable CAD, external simulation tools challenge the result, and a human release gate controls any 3D-printable output.</w:t>
            </w:r>
          </w:p>
        </w:tc>
      </w:tr>
    </w:tbl>
    <w:p>
      <w:pPr>
        <w:spacing w:before="0" w:after="40" w:line="240" w:lineRule="auto"/>
      </w:pPr>
      <w:r>
        <w:rPr>
          <w:rFonts w:ascii="Calibri" w:hAnsi="Calibri"/>
          <w:sz w:val="2"/>
        </w:rPr>
        <w:t xml:space="preserve"> </w:t>
      </w:r>
    </w:p>
    <w:p>
      <w:pPr>
        <w:pStyle w:val="Heading1"/>
      </w:pPr>
      <w:r>
        <w:t>1. Executive Doctrine</w:t>
      </w:r>
    </w:p>
    <w:p>
      <w:r>
        <w:t>COSMOS is intended to be a desktop-first multiphysics engineering platform for rocket propulsion design, development, verification, and manufacturing preparation. Its purpose is not to imitate a single external tool, but to establish a company-owned computational engineering architecture that uses executable engineering logic, traceable knowledge, deterministic solvers, generated CAD, external simulation evidence, and formal release control.</w:t>
      </w:r>
    </w:p>
    <w:p>
      <w:r>
        <w:t>The software shall work in a similar category to modern computational-engineering systems: the user enters mission and engine requirements, the system converts those requirements into a formal design contract, the engineering kernel calculates a candidate engine, and the geometry kernel produces CAD models that can be exported to specialist analysis and manufacturing systems. COSMOS must remain independent in source code, data schema, solver implementation, user experience, and proprietary design pattern.</w:t>
      </w:r>
    </w:p>
    <w:p>
      <w:pPr>
        <w:pStyle w:val="ListBullet"/>
      </w:pPr>
      <w:r>
        <w:t>The RAG system is an evidence and traceability layer, not an unchecked design authority.</w:t>
      </w:r>
    </w:p>
    <w:p>
      <w:pPr>
        <w:pStyle w:val="ListBullet"/>
      </w:pPr>
      <w:r>
        <w:t>The engineering solvers are deterministic, unit-safe, versioned, and independently testable.</w:t>
      </w:r>
    </w:p>
    <w:p>
      <w:pPr>
        <w:pStyle w:val="ListBullet"/>
      </w:pPr>
      <w:r>
        <w:t>The generated CAD is parametric and evidence-bound before it becomes optimized or printable.</w:t>
      </w:r>
    </w:p>
    <w:p>
      <w:pPr>
        <w:pStyle w:val="ListBullet"/>
      </w:pPr>
      <w:r>
        <w:t>Topology optimization proposes candidates; clean CAD reconstruction and external analysis decide release readiness.</w:t>
      </w:r>
    </w:p>
    <w:p>
      <w:pPr>
        <w:pStyle w:val="ListBullet"/>
      </w:pPr>
      <w:r>
        <w:t>Human review and uploaded external results are mandatory before manufacturing release.</w:t>
      </w:r>
    </w:p>
    <w:p>
      <w:pPr>
        <w:pStyle w:val="Heading2"/>
      </w:pPr>
      <w:r>
        <w:t>1.1 Product Identity</w:t>
      </w:r>
    </w:p>
    <w:tbl>
      <w:tblPr>
        <w:tblStyle w:val="TableGrid"/>
        <w:tblW w:type="dxa" w:w="9360"/>
        <w:jc w:val="left"/>
        <w:tblLook w:firstColumn="1" w:firstRow="1" w:lastColumn="0" w:lastRow="0" w:noHBand="0" w:noVBand="1" w:val="04A0"/>
        <w:tblInd w:w="120" w:type="dxa"/>
        <w:tblLayout w:type="fixed"/>
      </w:tblPr>
      <w:tblGrid>
        <w:gridCol w:w="2300"/>
        <w:gridCol w:w="7060"/>
      </w:tblGrid>
      <w:tr>
        <w:trPr>
          <w:tblHeader w:val="true"/>
          <w:cantSplit w:val="true"/>
        </w:trPr>
        <w:tc>
          <w:tcPr>
            <w:tcW w:type="dxa" w:w="2300"/>
            <w:vAlign w:val="center"/>
            <w:tcMar>
              <w:top w:w="80" w:type="dxa"/>
              <w:start w:w="120" w:type="dxa"/>
              <w:bottom w:w="80" w:type="dxa"/>
              <w:end w:w="120" w:type="dxa"/>
            </w:tcMar>
            <w:shd w:fill="F2F4F7"/>
          </w:tcPr>
          <w:p>
            <w:pPr>
              <w:spacing w:after="0"/>
            </w:pPr>
            <w:r>
              <w:rPr>
                <w:rFonts w:ascii="Calibri" w:hAnsi="Calibri"/>
                <w:b/>
                <w:color w:val="0B2545"/>
                <w:sz w:val="19"/>
              </w:rPr>
              <w:t>Element</w:t>
            </w:r>
          </w:p>
        </w:tc>
        <w:tc>
          <w:tcPr>
            <w:tcW w:type="dxa" w:w="7060"/>
            <w:vAlign w:val="center"/>
            <w:tcMar>
              <w:top w:w="80" w:type="dxa"/>
              <w:start w:w="120" w:type="dxa"/>
              <w:bottom w:w="80" w:type="dxa"/>
              <w:end w:w="120" w:type="dxa"/>
            </w:tcMar>
            <w:shd w:fill="F2F4F7"/>
          </w:tcPr>
          <w:p>
            <w:pPr>
              <w:spacing w:after="0"/>
            </w:pPr>
            <w:r>
              <w:rPr>
                <w:rFonts w:ascii="Calibri" w:hAnsi="Calibri"/>
                <w:b/>
                <w:color w:val="0B2545"/>
                <w:sz w:val="19"/>
              </w:rPr>
              <w:t>Definition</w:t>
            </w:r>
          </w:p>
        </w:tc>
      </w:tr>
      <w:tr>
        <w:trPr>
          <w:cantSplit w:val="true"/>
        </w:trPr>
        <w:tc>
          <w:tcPr>
            <w:tcW w:type="dxa" w:w="2300"/>
            <w:tcMar>
              <w:top w:w="80" w:type="dxa"/>
              <w:start w:w="120" w:type="dxa"/>
              <w:bottom w:w="80" w:type="dxa"/>
              <w:end w:w="120" w:type="dxa"/>
            </w:tcMar>
          </w:tcPr>
          <w:p>
            <w:pPr>
              <w:spacing w:after="0"/>
            </w:pPr>
            <w:r>
              <w:rPr>
                <w:rFonts w:ascii="Calibri" w:hAnsi="Calibri"/>
                <w:color w:val="000000"/>
                <w:sz w:val="19"/>
              </w:rPr>
              <w:t>Product name</w:t>
            </w:r>
          </w:p>
        </w:tc>
        <w:tc>
          <w:tcPr>
            <w:tcW w:type="dxa" w:w="7060"/>
            <w:tcMar>
              <w:top w:w="80" w:type="dxa"/>
              <w:start w:w="120" w:type="dxa"/>
              <w:bottom w:w="80" w:type="dxa"/>
              <w:end w:w="120" w:type="dxa"/>
            </w:tcMar>
          </w:tcPr>
          <w:p>
            <w:pPr>
              <w:spacing w:after="0"/>
            </w:pPr>
            <w:r>
              <w:rPr>
                <w:rFonts w:ascii="Calibri" w:hAnsi="Calibri"/>
                <w:color w:val="000000"/>
                <w:sz w:val="19"/>
              </w:rPr>
              <w:t>COSMOS - Cryogenic Optimization and Simulation Multiphysics Operating System</w:t>
            </w:r>
          </w:p>
        </w:tc>
      </w:tr>
      <w:tr>
        <w:trPr>
          <w:cantSplit w:val="true"/>
        </w:trPr>
        <w:tc>
          <w:tcPr>
            <w:tcW w:type="dxa" w:w="2300"/>
            <w:tcMar>
              <w:top w:w="80" w:type="dxa"/>
              <w:start w:w="120" w:type="dxa"/>
              <w:bottom w:w="80" w:type="dxa"/>
              <w:end w:w="120" w:type="dxa"/>
            </w:tcMar>
          </w:tcPr>
          <w:p>
            <w:pPr>
              <w:spacing w:after="0"/>
            </w:pPr>
            <w:r>
              <w:rPr>
                <w:rFonts w:ascii="Calibri" w:hAnsi="Calibri"/>
                <w:color w:val="000000"/>
                <w:sz w:val="19"/>
              </w:rPr>
              <w:t>Primary language</w:t>
            </w:r>
          </w:p>
        </w:tc>
        <w:tc>
          <w:tcPr>
            <w:tcW w:type="dxa" w:w="7060"/>
            <w:tcMar>
              <w:top w:w="80" w:type="dxa"/>
              <w:start w:w="120" w:type="dxa"/>
              <w:bottom w:w="80" w:type="dxa"/>
              <w:end w:w="120" w:type="dxa"/>
            </w:tcMar>
          </w:tcPr>
          <w:p>
            <w:pPr>
              <w:spacing w:after="0"/>
            </w:pPr>
            <w:r>
              <w:rPr>
                <w:rFonts w:ascii="Calibri" w:hAnsi="Calibri"/>
                <w:color w:val="000000"/>
                <w:sz w:val="19"/>
              </w:rPr>
              <w:t>Python for orchestration, scientific computing, data models, RAG, automation, and first-stage CAD generation</w:t>
            </w:r>
          </w:p>
        </w:tc>
      </w:tr>
      <w:tr>
        <w:trPr>
          <w:cantSplit w:val="true"/>
        </w:trPr>
        <w:tc>
          <w:tcPr>
            <w:tcW w:type="dxa" w:w="2300"/>
            <w:tcMar>
              <w:top w:w="80" w:type="dxa"/>
              <w:start w:w="120" w:type="dxa"/>
              <w:bottom w:w="80" w:type="dxa"/>
              <w:end w:w="120" w:type="dxa"/>
            </w:tcMar>
          </w:tcPr>
          <w:p>
            <w:pPr>
              <w:spacing w:after="0"/>
            </w:pPr>
            <w:r>
              <w:rPr>
                <w:rFonts w:ascii="Calibri" w:hAnsi="Calibri"/>
                <w:color w:val="000000"/>
                <w:sz w:val="19"/>
              </w:rPr>
              <w:t>Core category</w:t>
            </w:r>
          </w:p>
        </w:tc>
        <w:tc>
          <w:tcPr>
            <w:tcW w:type="dxa" w:w="7060"/>
            <w:tcMar>
              <w:top w:w="80" w:type="dxa"/>
              <w:start w:w="120" w:type="dxa"/>
              <w:bottom w:w="80" w:type="dxa"/>
              <w:end w:w="120" w:type="dxa"/>
            </w:tcMar>
          </w:tcPr>
          <w:p>
            <w:pPr>
              <w:spacing w:after="0"/>
            </w:pPr>
            <w:r>
              <w:rPr>
                <w:rFonts w:ascii="Calibri" w:hAnsi="Calibri"/>
                <w:color w:val="000000"/>
                <w:sz w:val="19"/>
              </w:rPr>
              <w:t>Computational engineering and AI-assisted propulsion design platform</w:t>
            </w:r>
          </w:p>
        </w:tc>
      </w:tr>
      <w:tr>
        <w:trPr>
          <w:cantSplit w:val="true"/>
        </w:trPr>
        <w:tc>
          <w:tcPr>
            <w:tcW w:type="dxa" w:w="2300"/>
            <w:tcMar>
              <w:top w:w="80" w:type="dxa"/>
              <w:start w:w="120" w:type="dxa"/>
              <w:bottom w:w="80" w:type="dxa"/>
              <w:end w:w="120" w:type="dxa"/>
            </w:tcMar>
          </w:tcPr>
          <w:p>
            <w:pPr>
              <w:spacing w:after="0"/>
            </w:pPr>
            <w:r>
              <w:rPr>
                <w:rFonts w:ascii="Calibri" w:hAnsi="Calibri"/>
                <w:color w:val="000000"/>
                <w:sz w:val="19"/>
              </w:rPr>
              <w:t>Primary output</w:t>
            </w:r>
          </w:p>
        </w:tc>
        <w:tc>
          <w:tcPr>
            <w:tcW w:type="dxa" w:w="7060"/>
            <w:tcMar>
              <w:top w:w="80" w:type="dxa"/>
              <w:start w:w="120" w:type="dxa"/>
              <w:bottom w:w="80" w:type="dxa"/>
              <w:end w:w="120" w:type="dxa"/>
            </w:tcMar>
          </w:tcPr>
          <w:p>
            <w:pPr>
              <w:spacing w:after="0"/>
            </w:pPr>
            <w:r>
              <w:rPr>
                <w:rFonts w:ascii="Calibri" w:hAnsi="Calibri"/>
                <w:color w:val="000000"/>
                <w:sz w:val="19"/>
              </w:rPr>
              <w:t>Traceable design state, engineering documentation, CAD/CAE packages, analysis comparison records, and manufacturing release packages</w:t>
            </w:r>
          </w:p>
        </w:tc>
      </w:tr>
      <w:tr>
        <w:trPr>
          <w:cantSplit w:val="true"/>
        </w:trPr>
        <w:tc>
          <w:tcPr>
            <w:tcW w:type="dxa" w:w="2300"/>
            <w:tcMar>
              <w:top w:w="80" w:type="dxa"/>
              <w:start w:w="120" w:type="dxa"/>
              <w:bottom w:w="80" w:type="dxa"/>
              <w:end w:w="120" w:type="dxa"/>
            </w:tcMar>
          </w:tcPr>
          <w:p>
            <w:pPr>
              <w:spacing w:after="0"/>
            </w:pPr>
            <w:r>
              <w:rPr>
                <w:rFonts w:ascii="Calibri" w:hAnsi="Calibri"/>
                <w:color w:val="000000"/>
                <w:sz w:val="19"/>
              </w:rPr>
              <w:t>Governance stance</w:t>
            </w:r>
          </w:p>
        </w:tc>
        <w:tc>
          <w:tcPr>
            <w:tcW w:type="dxa" w:w="7060"/>
            <w:tcMar>
              <w:top w:w="80" w:type="dxa"/>
              <w:start w:w="120" w:type="dxa"/>
              <w:bottom w:w="80" w:type="dxa"/>
              <w:end w:w="120" w:type="dxa"/>
            </w:tcMar>
          </w:tcPr>
          <w:p>
            <w:pPr>
              <w:spacing w:after="0"/>
            </w:pPr>
            <w:r>
              <w:rPr>
                <w:rFonts w:ascii="Calibri" w:hAnsi="Calibri"/>
                <w:color w:val="000000"/>
                <w:sz w:val="19"/>
              </w:rPr>
              <w:t>Evidence-first, solver-verified, externally reviewed, human released</w:t>
            </w:r>
          </w:p>
        </w:tc>
      </w:tr>
    </w:tbl>
    <w:p>
      <w:pPr>
        <w:spacing w:before="0" w:after="40" w:line="240" w:lineRule="auto"/>
      </w:pPr>
      <w:r>
        <w:rPr>
          <w:rFonts w:ascii="Calibri" w:hAnsi="Calibri"/>
          <w:sz w:val="2"/>
        </w:rPr>
        <w:t xml:space="preserve"> </w:t>
      </w:r>
    </w:p>
    <w:p>
      <w:pPr>
        <w:pStyle w:val="Heading2"/>
      </w:pPr>
      <w:r>
        <w:t>1.2 Non-Clone Position</w:t>
      </w:r>
    </w:p>
    <w:p>
      <w:r>
        <w:t>COSMOS may operate in the same broad category as other computational engineering systems, but the company shall treat COSMOS as a clean, independent implementation. No proprietary algorithms, source code, data structures, internal user flows, or confidential know-how from external systems shall be copied or reverse engineered. COSMOS shall be designed from first principles, public scientific knowledge, licensed references, company-generated validation data, and original engineering software.</w:t>
      </w:r>
    </w:p>
    <w:tbl>
      <w:tblPr>
        <w:tblStyle w:val="TableGrid"/>
        <w:tblW w:type="dxa" w:w="9360"/>
        <w:jc w:val="left"/>
        <w:tblLook w:firstColumn="1" w:firstRow="1" w:lastColumn="0" w:lastRow="0" w:noHBand="0" w:noVBand="1" w:val="04A0"/>
        <w:tblInd w:w="120" w:type="dxa"/>
        <w:tblLayout w:type="fixed"/>
      </w:tblPr>
      <w:tblGrid>
        <w:gridCol w:w="9360"/>
      </w:tblGrid>
      <w:tr>
        <w:trPr>
          <w:cantSplit w:val="true"/>
        </w:trPr>
        <w:tc>
          <w:tcPr>
            <w:tcW w:type="dxa" w:w="9360"/>
            <w:vAlign w:val="center"/>
            <w:tcMar>
              <w:top w:w="80" w:type="dxa"/>
              <w:start w:w="120" w:type="dxa"/>
              <w:bottom w:w="80" w:type="dxa"/>
              <w:end w:w="120" w:type="dxa"/>
            </w:tcMar>
            <w:shd w:fill="F4F6F9"/>
          </w:tcPr>
          <w:p>
            <w:pPr>
              <w:spacing w:after="40"/>
            </w:pPr>
            <w:r>
              <w:rPr>
                <w:rFonts w:ascii="Calibri" w:hAnsi="Calibri"/>
                <w:b/>
                <w:color w:val="0B2545"/>
                <w:sz w:val="21"/>
              </w:rPr>
              <w:t>IP caution</w:t>
            </w:r>
          </w:p>
          <w:p>
            <w:pPr>
              <w:spacing w:after="0"/>
            </w:pPr>
            <w:r>
              <w:rPr>
                <w:rFonts w:ascii="Calibri" w:hAnsi="Calibri"/>
                <w:color w:val="000000"/>
                <w:sz w:val="21"/>
              </w:rPr>
              <w:t>This document is an engineering and product-architecture draft, not legal advice. Formal IP assignment, employee/contractor invention agreements, copyright registration strategy, patent review, and trade-secret controls should be reviewed by qualified counsel.</w:t>
            </w:r>
          </w:p>
        </w:tc>
      </w:tr>
    </w:tbl>
    <w:p>
      <w:pPr>
        <w:spacing w:before="0" w:after="40" w:line="240" w:lineRule="auto"/>
      </w:pPr>
      <w:r>
        <w:rPr>
          <w:rFonts w:ascii="Calibri" w:hAnsi="Calibri"/>
          <w:sz w:val="2"/>
        </w:rPr>
        <w:t xml:space="preserve"> </w:t>
      </w:r>
    </w:p>
    <w:p>
      <w:pPr>
        <w:pStyle w:val="Heading1"/>
      </w:pPr>
      <w:r>
        <w:t>2. COSMOS Proprietary Architecture Pattern</w:t>
      </w:r>
    </w:p>
    <w:p>
      <w:r>
        <w:t>The proposed proprietary pattern is named TRACE-GEN: Traceable Retrieval-Augmented Computational Engineering Generation. TRACE-GEN is the COSMOS operating pattern that links every design output to a controlled requirement, verified equation, unit model, source reference, solver version, CAD feature, analysis result, and release decision.</w:t>
      </w:r>
    </w:p>
    <w:tbl>
      <w:tblPr>
        <w:tblStyle w:val="TableGrid"/>
        <w:tblW w:type="dxa" w:w="9360"/>
        <w:jc w:val="left"/>
        <w:tblLook w:firstColumn="1" w:firstRow="1" w:lastColumn="0" w:lastRow="0" w:noHBand="0" w:noVBand="1" w:val="04A0"/>
        <w:tblInd w:w="120" w:type="dxa"/>
        <w:tblLayout w:type="fixed"/>
      </w:tblPr>
      <w:tblGrid>
        <w:gridCol w:w="2000"/>
        <w:gridCol w:w="4350"/>
        <w:gridCol w:w="3010"/>
      </w:tblGrid>
      <w:tr>
        <w:trPr>
          <w:tblHeader w:val="true"/>
          <w:cantSplit w:val="true"/>
        </w:trPr>
        <w:tc>
          <w:tcPr>
            <w:tcW w:type="dxa" w:w="2000"/>
            <w:vAlign w:val="center"/>
            <w:tcMar>
              <w:top w:w="80" w:type="dxa"/>
              <w:start w:w="120" w:type="dxa"/>
              <w:bottom w:w="80" w:type="dxa"/>
              <w:end w:w="120" w:type="dxa"/>
            </w:tcMar>
            <w:shd w:fill="F2F4F7"/>
          </w:tcPr>
          <w:p>
            <w:pPr>
              <w:spacing w:after="0"/>
            </w:pPr>
            <w:r>
              <w:rPr>
                <w:rFonts w:ascii="Calibri" w:hAnsi="Calibri"/>
                <w:b/>
                <w:color w:val="0B2545"/>
                <w:sz w:val="19"/>
              </w:rPr>
              <w:t>TRACE-GEN Stage</w:t>
            </w:r>
          </w:p>
        </w:tc>
        <w:tc>
          <w:tcPr>
            <w:tcW w:type="dxa" w:w="4350"/>
            <w:vAlign w:val="center"/>
            <w:tcMar>
              <w:top w:w="80" w:type="dxa"/>
              <w:start w:w="120" w:type="dxa"/>
              <w:bottom w:w="80" w:type="dxa"/>
              <w:end w:w="120" w:type="dxa"/>
            </w:tcMar>
            <w:shd w:fill="F2F4F7"/>
          </w:tcPr>
          <w:p>
            <w:pPr>
              <w:spacing w:after="0"/>
            </w:pPr>
            <w:r>
              <w:rPr>
                <w:rFonts w:ascii="Calibri" w:hAnsi="Calibri"/>
                <w:b/>
                <w:color w:val="0B2545"/>
                <w:sz w:val="19"/>
              </w:rPr>
              <w:t>Purpose</w:t>
            </w:r>
          </w:p>
        </w:tc>
        <w:tc>
          <w:tcPr>
            <w:tcW w:type="dxa" w:w="3010"/>
            <w:vAlign w:val="center"/>
            <w:tcMar>
              <w:top w:w="80" w:type="dxa"/>
              <w:start w:w="120" w:type="dxa"/>
              <w:bottom w:w="80" w:type="dxa"/>
              <w:end w:w="120" w:type="dxa"/>
            </w:tcMar>
            <w:shd w:fill="F2F4F7"/>
          </w:tcPr>
          <w:p>
            <w:pPr>
              <w:spacing w:after="0"/>
            </w:pPr>
            <w:r>
              <w:rPr>
                <w:rFonts w:ascii="Calibri" w:hAnsi="Calibri"/>
                <w:b/>
                <w:color w:val="0B2545"/>
                <w:sz w:val="19"/>
              </w:rPr>
              <w:t>Primary Artifacts</w:t>
            </w:r>
          </w:p>
        </w:tc>
      </w:tr>
      <w:tr>
        <w:trPr>
          <w:cantSplit w:val="true"/>
        </w:trPr>
        <w:tc>
          <w:tcPr>
            <w:tcW w:type="dxa" w:w="2000"/>
            <w:tcMar>
              <w:top w:w="80" w:type="dxa"/>
              <w:start w:w="120" w:type="dxa"/>
              <w:bottom w:w="80" w:type="dxa"/>
              <w:end w:w="120" w:type="dxa"/>
            </w:tcMar>
          </w:tcPr>
          <w:p>
            <w:pPr>
              <w:spacing w:after="0"/>
            </w:pPr>
            <w:r>
              <w:rPr>
                <w:rFonts w:ascii="Calibri" w:hAnsi="Calibri"/>
                <w:color w:val="000000"/>
                <w:sz w:val="19"/>
              </w:rPr>
              <w:t>T - Technical Design Contract</w:t>
            </w:r>
          </w:p>
        </w:tc>
        <w:tc>
          <w:tcPr>
            <w:tcW w:type="dxa" w:w="4350"/>
            <w:tcMar>
              <w:top w:w="80" w:type="dxa"/>
              <w:start w:w="120" w:type="dxa"/>
              <w:bottom w:w="80" w:type="dxa"/>
              <w:end w:w="120" w:type="dxa"/>
            </w:tcMar>
          </w:tcPr>
          <w:p>
            <w:pPr>
              <w:spacing w:after="0"/>
            </w:pPr>
            <w:r>
              <w:rPr>
                <w:rFonts w:ascii="Calibri" w:hAnsi="Calibri"/>
                <w:color w:val="000000"/>
                <w:sz w:val="19"/>
              </w:rPr>
              <w:t>Convert user inputs into formal requirements, constraints, assumptions, and acceptance criteria.</w:t>
            </w:r>
          </w:p>
        </w:tc>
        <w:tc>
          <w:tcPr>
            <w:tcW w:type="dxa" w:w="3010"/>
            <w:tcMar>
              <w:top w:w="80" w:type="dxa"/>
              <w:start w:w="120" w:type="dxa"/>
              <w:bottom w:w="80" w:type="dxa"/>
              <w:end w:w="120" w:type="dxa"/>
            </w:tcMar>
          </w:tcPr>
          <w:p>
            <w:pPr>
              <w:spacing w:after="0"/>
            </w:pPr>
            <w:r>
              <w:rPr>
                <w:rFonts w:ascii="Calibri" w:hAnsi="Calibri"/>
                <w:color w:val="000000"/>
                <w:sz w:val="19"/>
              </w:rPr>
              <w:t>Design contract, requirement IDs, operating envelope</w:t>
            </w:r>
          </w:p>
        </w:tc>
      </w:tr>
      <w:tr>
        <w:trPr>
          <w:cantSplit w:val="true"/>
        </w:trPr>
        <w:tc>
          <w:tcPr>
            <w:tcW w:type="dxa" w:w="2000"/>
            <w:tcMar>
              <w:top w:w="80" w:type="dxa"/>
              <w:start w:w="120" w:type="dxa"/>
              <w:bottom w:w="80" w:type="dxa"/>
              <w:end w:w="120" w:type="dxa"/>
            </w:tcMar>
          </w:tcPr>
          <w:p>
            <w:pPr>
              <w:spacing w:after="0"/>
            </w:pPr>
            <w:r>
              <w:rPr>
                <w:rFonts w:ascii="Calibri" w:hAnsi="Calibri"/>
                <w:color w:val="000000"/>
                <w:sz w:val="19"/>
              </w:rPr>
              <w:t>R - Retrieval and Reference Binding</w:t>
            </w:r>
          </w:p>
        </w:tc>
        <w:tc>
          <w:tcPr>
            <w:tcW w:type="dxa" w:w="4350"/>
            <w:tcMar>
              <w:top w:w="80" w:type="dxa"/>
              <w:start w:w="120" w:type="dxa"/>
              <w:bottom w:w="80" w:type="dxa"/>
              <w:end w:w="120" w:type="dxa"/>
            </w:tcMar>
          </w:tcPr>
          <w:p>
            <w:pPr>
              <w:spacing w:after="0"/>
            </w:pPr>
            <w:r>
              <w:rPr>
                <w:rFonts w:ascii="Calibri" w:hAnsi="Calibri"/>
                <w:color w:val="000000"/>
                <w:sz w:val="19"/>
              </w:rPr>
              <w:t>Retrieve approved equations, material data, propellant data, correlations, and manufacturing rules.</w:t>
            </w:r>
          </w:p>
        </w:tc>
        <w:tc>
          <w:tcPr>
            <w:tcW w:type="dxa" w:w="3010"/>
            <w:tcMar>
              <w:top w:w="80" w:type="dxa"/>
              <w:start w:w="120" w:type="dxa"/>
              <w:bottom w:w="80" w:type="dxa"/>
              <w:end w:w="120" w:type="dxa"/>
            </w:tcMar>
          </w:tcPr>
          <w:p>
            <w:pPr>
              <w:spacing w:after="0"/>
            </w:pPr>
            <w:r>
              <w:rPr>
                <w:rFonts w:ascii="Calibri" w:hAnsi="Calibri"/>
                <w:color w:val="000000"/>
                <w:sz w:val="19"/>
              </w:rPr>
              <w:t>Evidence packets, citations, validity ranges</w:t>
            </w:r>
          </w:p>
        </w:tc>
      </w:tr>
      <w:tr>
        <w:trPr>
          <w:cantSplit w:val="true"/>
        </w:trPr>
        <w:tc>
          <w:tcPr>
            <w:tcW w:type="dxa" w:w="2000"/>
            <w:tcMar>
              <w:top w:w="80" w:type="dxa"/>
              <w:start w:w="120" w:type="dxa"/>
              <w:bottom w:w="80" w:type="dxa"/>
              <w:end w:w="120" w:type="dxa"/>
            </w:tcMar>
          </w:tcPr>
          <w:p>
            <w:pPr>
              <w:spacing w:after="0"/>
            </w:pPr>
            <w:r>
              <w:rPr>
                <w:rFonts w:ascii="Calibri" w:hAnsi="Calibri"/>
                <w:color w:val="000000"/>
                <w:sz w:val="19"/>
              </w:rPr>
              <w:t>A - Analytical Synthesis</w:t>
            </w:r>
          </w:p>
        </w:tc>
        <w:tc>
          <w:tcPr>
            <w:tcW w:type="dxa" w:w="4350"/>
            <w:tcMar>
              <w:top w:w="80" w:type="dxa"/>
              <w:start w:w="120" w:type="dxa"/>
              <w:bottom w:w="80" w:type="dxa"/>
              <w:end w:w="120" w:type="dxa"/>
            </w:tcMar>
          </w:tcPr>
          <w:p>
            <w:pPr>
              <w:spacing w:after="0"/>
            </w:pPr>
            <w:r>
              <w:rPr>
                <w:rFonts w:ascii="Calibri" w:hAnsi="Calibri"/>
                <w:color w:val="000000"/>
                <w:sz w:val="19"/>
              </w:rPr>
              <w:t>Run deterministic engineering solvers and derive a coherent preliminary engine state.</w:t>
            </w:r>
          </w:p>
        </w:tc>
        <w:tc>
          <w:tcPr>
            <w:tcW w:type="dxa" w:w="3010"/>
            <w:tcMar>
              <w:top w:w="80" w:type="dxa"/>
              <w:start w:w="120" w:type="dxa"/>
              <w:bottom w:w="80" w:type="dxa"/>
              <w:end w:w="120" w:type="dxa"/>
            </w:tcMar>
          </w:tcPr>
          <w:p>
            <w:pPr>
              <w:spacing w:after="0"/>
            </w:pPr>
            <w:r>
              <w:rPr>
                <w:rFonts w:ascii="Calibri" w:hAnsi="Calibri"/>
                <w:color w:val="000000"/>
                <w:sz w:val="19"/>
              </w:rPr>
              <w:t>Sizing results, margins, warnings</w:t>
            </w:r>
          </w:p>
        </w:tc>
      </w:tr>
      <w:tr>
        <w:trPr>
          <w:cantSplit w:val="true"/>
        </w:trPr>
        <w:tc>
          <w:tcPr>
            <w:tcW w:type="dxa" w:w="2000"/>
            <w:tcMar>
              <w:top w:w="80" w:type="dxa"/>
              <w:start w:w="120" w:type="dxa"/>
              <w:bottom w:w="80" w:type="dxa"/>
              <w:end w:w="120" w:type="dxa"/>
            </w:tcMar>
          </w:tcPr>
          <w:p>
            <w:pPr>
              <w:spacing w:after="0"/>
            </w:pPr>
            <w:r>
              <w:rPr>
                <w:rFonts w:ascii="Calibri" w:hAnsi="Calibri"/>
                <w:color w:val="000000"/>
                <w:sz w:val="19"/>
              </w:rPr>
              <w:t>C - CAD and Geometry Compilation</w:t>
            </w:r>
          </w:p>
        </w:tc>
        <w:tc>
          <w:tcPr>
            <w:tcW w:type="dxa" w:w="4350"/>
            <w:tcMar>
              <w:top w:w="80" w:type="dxa"/>
              <w:start w:w="120" w:type="dxa"/>
              <w:bottom w:w="80" w:type="dxa"/>
              <w:end w:w="120" w:type="dxa"/>
            </w:tcMar>
          </w:tcPr>
          <w:p>
            <w:pPr>
              <w:spacing w:after="0"/>
            </w:pPr>
            <w:r>
              <w:rPr>
                <w:rFonts w:ascii="Calibri" w:hAnsi="Calibri"/>
                <w:color w:val="000000"/>
                <w:sz w:val="19"/>
              </w:rPr>
              <w:t>Generate parametric and implicit geometry from engineering state.</w:t>
            </w:r>
          </w:p>
        </w:tc>
        <w:tc>
          <w:tcPr>
            <w:tcW w:type="dxa" w:w="3010"/>
            <w:tcMar>
              <w:top w:w="80" w:type="dxa"/>
              <w:start w:w="120" w:type="dxa"/>
              <w:bottom w:w="80" w:type="dxa"/>
              <w:end w:w="120" w:type="dxa"/>
            </w:tcMar>
          </w:tcPr>
          <w:p>
            <w:pPr>
              <w:spacing w:after="0"/>
            </w:pPr>
            <w:r>
              <w:rPr>
                <w:rFonts w:ascii="Calibri" w:hAnsi="Calibri"/>
                <w:color w:val="000000"/>
                <w:sz w:val="19"/>
              </w:rPr>
              <w:t>Feature graph, STEP/Parasolid, mesh seeds</w:t>
            </w:r>
          </w:p>
        </w:tc>
      </w:tr>
      <w:tr>
        <w:trPr>
          <w:cantSplit w:val="true"/>
        </w:trPr>
        <w:tc>
          <w:tcPr>
            <w:tcW w:type="dxa" w:w="2000"/>
            <w:tcMar>
              <w:top w:w="80" w:type="dxa"/>
              <w:start w:w="120" w:type="dxa"/>
              <w:bottom w:w="80" w:type="dxa"/>
              <w:end w:w="120" w:type="dxa"/>
            </w:tcMar>
          </w:tcPr>
          <w:p>
            <w:pPr>
              <w:spacing w:after="0"/>
            </w:pPr>
            <w:r>
              <w:rPr>
                <w:rFonts w:ascii="Calibri" w:hAnsi="Calibri"/>
                <w:color w:val="000000"/>
                <w:sz w:val="19"/>
              </w:rPr>
              <w:t>E - External Evaluation</w:t>
            </w:r>
          </w:p>
        </w:tc>
        <w:tc>
          <w:tcPr>
            <w:tcW w:type="dxa" w:w="4350"/>
            <w:tcMar>
              <w:top w:w="80" w:type="dxa"/>
              <w:start w:w="120" w:type="dxa"/>
              <w:bottom w:w="80" w:type="dxa"/>
              <w:end w:w="120" w:type="dxa"/>
            </w:tcMar>
          </w:tcPr>
          <w:p>
            <w:pPr>
              <w:spacing w:after="0"/>
            </w:pPr>
            <w:r>
              <w:rPr>
                <w:rFonts w:ascii="Calibri" w:hAnsi="Calibri"/>
                <w:color w:val="000000"/>
                <w:sz w:val="19"/>
              </w:rPr>
              <w:t>Export to independent CAE tools and import solver results for comparison.</w:t>
            </w:r>
          </w:p>
        </w:tc>
        <w:tc>
          <w:tcPr>
            <w:tcW w:type="dxa" w:w="3010"/>
            <w:tcMar>
              <w:top w:w="80" w:type="dxa"/>
              <w:start w:w="120" w:type="dxa"/>
              <w:bottom w:w="80" w:type="dxa"/>
              <w:end w:w="120" w:type="dxa"/>
            </w:tcMar>
          </w:tcPr>
          <w:p>
            <w:pPr>
              <w:spacing w:after="0"/>
            </w:pPr>
            <w:r>
              <w:rPr>
                <w:rFonts w:ascii="Calibri" w:hAnsi="Calibri"/>
                <w:color w:val="000000"/>
                <w:sz w:val="19"/>
              </w:rPr>
              <w:t>CFD/FEA/FEM/dynamics cases, result maps</w:t>
            </w:r>
          </w:p>
        </w:tc>
      </w:tr>
      <w:tr>
        <w:trPr>
          <w:cantSplit w:val="true"/>
        </w:trPr>
        <w:tc>
          <w:tcPr>
            <w:tcW w:type="dxa" w:w="2000"/>
            <w:tcMar>
              <w:top w:w="80" w:type="dxa"/>
              <w:start w:w="120" w:type="dxa"/>
              <w:bottom w:w="80" w:type="dxa"/>
              <w:end w:w="120" w:type="dxa"/>
            </w:tcMar>
          </w:tcPr>
          <w:p>
            <w:pPr>
              <w:spacing w:after="0"/>
            </w:pPr>
            <w:r>
              <w:rPr>
                <w:rFonts w:ascii="Calibri" w:hAnsi="Calibri"/>
                <w:color w:val="000000"/>
                <w:sz w:val="19"/>
              </w:rPr>
              <w:t>G - Governance Review</w:t>
            </w:r>
          </w:p>
        </w:tc>
        <w:tc>
          <w:tcPr>
            <w:tcW w:type="dxa" w:w="4350"/>
            <w:tcMar>
              <w:top w:w="80" w:type="dxa"/>
              <w:start w:w="120" w:type="dxa"/>
              <w:bottom w:w="80" w:type="dxa"/>
              <w:end w:w="120" w:type="dxa"/>
            </w:tcMar>
          </w:tcPr>
          <w:p>
            <w:pPr>
              <w:spacing w:after="0"/>
            </w:pPr>
            <w:r>
              <w:rPr>
                <w:rFonts w:ascii="Calibri" w:hAnsi="Calibri"/>
                <w:color w:val="000000"/>
                <w:sz w:val="19"/>
              </w:rPr>
              <w:t>Compare evidence and obtain human review before release.</w:t>
            </w:r>
          </w:p>
        </w:tc>
        <w:tc>
          <w:tcPr>
            <w:tcW w:type="dxa" w:w="3010"/>
            <w:tcMar>
              <w:top w:w="80" w:type="dxa"/>
              <w:start w:w="120" w:type="dxa"/>
              <w:bottom w:w="80" w:type="dxa"/>
              <w:end w:w="120" w:type="dxa"/>
            </w:tcMar>
          </w:tcPr>
          <w:p>
            <w:pPr>
              <w:spacing w:after="0"/>
            </w:pPr>
            <w:r>
              <w:rPr>
                <w:rFonts w:ascii="Calibri" w:hAnsi="Calibri"/>
                <w:color w:val="000000"/>
                <w:sz w:val="19"/>
              </w:rPr>
              <w:t>Review board, signoff record, issue log</w:t>
            </w:r>
          </w:p>
        </w:tc>
      </w:tr>
      <w:tr>
        <w:trPr>
          <w:cantSplit w:val="true"/>
        </w:trPr>
        <w:tc>
          <w:tcPr>
            <w:tcW w:type="dxa" w:w="2000"/>
            <w:tcMar>
              <w:top w:w="80" w:type="dxa"/>
              <w:start w:w="120" w:type="dxa"/>
              <w:bottom w:w="80" w:type="dxa"/>
              <w:end w:w="120" w:type="dxa"/>
            </w:tcMar>
          </w:tcPr>
          <w:p>
            <w:pPr>
              <w:spacing w:after="0"/>
            </w:pPr>
            <w:r>
              <w:rPr>
                <w:rFonts w:ascii="Calibri" w:hAnsi="Calibri"/>
                <w:color w:val="000000"/>
                <w:sz w:val="19"/>
              </w:rPr>
              <w:t>E - Engineering Documentation</w:t>
            </w:r>
          </w:p>
        </w:tc>
        <w:tc>
          <w:tcPr>
            <w:tcW w:type="dxa" w:w="4350"/>
            <w:tcMar>
              <w:top w:w="80" w:type="dxa"/>
              <w:start w:w="120" w:type="dxa"/>
              <w:bottom w:w="80" w:type="dxa"/>
              <w:end w:w="120" w:type="dxa"/>
            </w:tcMar>
          </w:tcPr>
          <w:p>
            <w:pPr>
              <w:spacing w:after="0"/>
            </w:pPr>
            <w:r>
              <w:rPr>
                <w:rFonts w:ascii="Calibri" w:hAnsi="Calibri"/>
                <w:color w:val="000000"/>
                <w:sz w:val="19"/>
              </w:rPr>
              <w:t>Generate traceable reports and design basis documents.</w:t>
            </w:r>
          </w:p>
        </w:tc>
        <w:tc>
          <w:tcPr>
            <w:tcW w:type="dxa" w:w="3010"/>
            <w:tcMar>
              <w:top w:w="80" w:type="dxa"/>
              <w:start w:w="120" w:type="dxa"/>
              <w:bottom w:w="80" w:type="dxa"/>
              <w:end w:w="120" w:type="dxa"/>
            </w:tcMar>
          </w:tcPr>
          <w:p>
            <w:pPr>
              <w:spacing w:after="0"/>
            </w:pPr>
            <w:r>
              <w:rPr>
                <w:rFonts w:ascii="Calibri" w:hAnsi="Calibri"/>
                <w:color w:val="000000"/>
                <w:sz w:val="19"/>
              </w:rPr>
              <w:t>Calculation package, design report, release note</w:t>
            </w:r>
          </w:p>
        </w:tc>
      </w:tr>
      <w:tr>
        <w:trPr>
          <w:cantSplit w:val="true"/>
        </w:trPr>
        <w:tc>
          <w:tcPr>
            <w:tcW w:type="dxa" w:w="2000"/>
            <w:tcMar>
              <w:top w:w="80" w:type="dxa"/>
              <w:start w:w="120" w:type="dxa"/>
              <w:bottom w:w="80" w:type="dxa"/>
              <w:end w:w="120" w:type="dxa"/>
            </w:tcMar>
          </w:tcPr>
          <w:p>
            <w:pPr>
              <w:spacing w:after="0"/>
            </w:pPr>
            <w:r>
              <w:rPr>
                <w:rFonts w:ascii="Calibri" w:hAnsi="Calibri"/>
                <w:color w:val="000000"/>
                <w:sz w:val="19"/>
              </w:rPr>
              <w:t>N - Next-Design Learning</w:t>
            </w:r>
          </w:p>
        </w:tc>
        <w:tc>
          <w:tcPr>
            <w:tcW w:type="dxa" w:w="4350"/>
            <w:tcMar>
              <w:top w:w="80" w:type="dxa"/>
              <w:start w:w="120" w:type="dxa"/>
              <w:bottom w:w="80" w:type="dxa"/>
              <w:end w:w="120" w:type="dxa"/>
            </w:tcMar>
          </w:tcPr>
          <w:p>
            <w:pPr>
              <w:spacing w:after="0"/>
            </w:pPr>
            <w:r>
              <w:rPr>
                <w:rFonts w:ascii="Calibri" w:hAnsi="Calibri"/>
                <w:color w:val="000000"/>
                <w:sz w:val="19"/>
              </w:rPr>
              <w:t>Use approved result deltas and test data to refine models without corrupting source evidence.</w:t>
            </w:r>
          </w:p>
        </w:tc>
        <w:tc>
          <w:tcPr>
            <w:tcW w:type="dxa" w:w="3010"/>
            <w:tcMar>
              <w:top w:w="80" w:type="dxa"/>
              <w:start w:w="120" w:type="dxa"/>
              <w:bottom w:w="80" w:type="dxa"/>
              <w:end w:w="120" w:type="dxa"/>
            </w:tcMar>
          </w:tcPr>
          <w:p>
            <w:pPr>
              <w:spacing w:after="0"/>
            </w:pPr>
            <w:r>
              <w:rPr>
                <w:rFonts w:ascii="Calibri" w:hAnsi="Calibri"/>
                <w:color w:val="000000"/>
                <w:sz w:val="19"/>
              </w:rPr>
              <w:t>Model calibration records, validation datasets</w:t>
            </w:r>
          </w:p>
        </w:tc>
      </w:tr>
    </w:tbl>
    <w:p>
      <w:pPr>
        <w:spacing w:before="0" w:after="40" w:line="240" w:lineRule="auto"/>
      </w:pPr>
      <w:r>
        <w:rPr>
          <w:rFonts w:ascii="Calibri" w:hAnsi="Calibri"/>
          <w:sz w:val="2"/>
        </w:rPr>
        <w:t xml:space="preserve"> </w:t>
      </w:r>
    </w:p>
    <w:p>
      <w:pPr>
        <w:pStyle w:val="Heading2"/>
      </w:pPr>
      <w:r>
        <w:t>2.1 Unique COSMOS Differentiators</w:t>
      </w:r>
    </w:p>
    <w:p>
      <w:pPr>
        <w:pStyle w:val="ListBullet"/>
      </w:pPr>
      <w:r>
        <w:t>Evidence-bound geometry: every CAD feature links to a requirement, solver output, equation, material rule, or manufacturing constraint.</w:t>
      </w:r>
    </w:p>
    <w:p>
      <w:pPr>
        <w:pStyle w:val="ListBullet"/>
      </w:pPr>
      <w:r>
        <w:t>Design decision ledger: all automated and human decisions are recorded with timestamp, model version, reviewer, source evidence, and acceptance rationale.</w:t>
      </w:r>
    </w:p>
    <w:p>
      <w:pPr>
        <w:pStyle w:val="ListBullet"/>
      </w:pPr>
      <w:r>
        <w:t>Solver disagreement cockpit: COSMOS predictions, Fluent/OpenFOAM/Nastran/Ansys/NX results, and manual reviewer comments are shown side by side.</w:t>
      </w:r>
    </w:p>
    <w:p>
      <w:pPr>
        <w:pStyle w:val="ListBullet"/>
      </w:pPr>
      <w:r>
        <w:t>Manufacturing release passport: a design cannot export a print-release package without proof of geometry, mesh, thermal, structural, CFD, and human review gates.</w:t>
      </w:r>
    </w:p>
    <w:p>
      <w:pPr>
        <w:pStyle w:val="ListBullet"/>
      </w:pPr>
      <w:r>
        <w:t>Equation validity guardian: equations retrieved by RAG are checked for units, dimensions, operating range, status, and source authority before solver use.</w:t>
      </w:r>
    </w:p>
    <w:p>
      <w:pPr>
        <w:pStyle w:val="ListBullet"/>
      </w:pPr>
      <w:r>
        <w:t>Topology reconstruction discipline: optimized forms are converted back into parametric or implicit engineering geometry before final validation.</w:t>
      </w:r>
    </w:p>
    <w:p>
      <w:pPr>
        <w:pStyle w:val="ListBullet"/>
      </w:pPr>
      <w:r>
        <w:t>Design lineage replay: a released engine can be regenerated from requirements, data versions, solver versions, and CAD generator versions.</w:t>
      </w:r>
    </w:p>
    <w:p>
      <w:pPr>
        <w:pStyle w:val="ListBullet"/>
      </w:pPr>
      <w:r>
        <w:t>AI role separation: AI assists search, explanation, planning, comparison, and documentation; deterministic software owns calculations and geometry generation.</w:t>
      </w:r>
    </w:p>
    <w:p>
      <w:pPr>
        <w:pStyle w:val="Heading2"/>
      </w:pPr>
      <w:r>
        <w:t>2.2 Architectural Non-Negotiables</w:t>
      </w:r>
    </w:p>
    <w:p>
      <w:pPr>
        <w:pStyle w:val="ListBullet"/>
      </w:pPr>
      <w:r>
        <w:t>No undocumented equation shall enter production solvers.</w:t>
      </w:r>
    </w:p>
    <w:p>
      <w:pPr>
        <w:pStyle w:val="ListBullet"/>
      </w:pPr>
      <w:r>
        <w:t>No RAG answer shall be used as a direct numerical authority without validation and source binding.</w:t>
      </w:r>
    </w:p>
    <w:p>
      <w:pPr>
        <w:pStyle w:val="ListBullet"/>
      </w:pPr>
      <w:r>
        <w:t>No STL/3MF export shall be treated as release-ready unless the design passport is complete.</w:t>
      </w:r>
    </w:p>
    <w:p>
      <w:pPr>
        <w:pStyle w:val="ListBullet"/>
      </w:pPr>
      <w:r>
        <w:t>No topology optimization output shall bypass clean geometry reconstruction.</w:t>
      </w:r>
    </w:p>
    <w:p>
      <w:pPr>
        <w:pStyle w:val="ListBullet"/>
      </w:pPr>
      <w:r>
        <w:t>No external simulation result shall be accepted without solver version, mesh metadata, boundary conditions, convergence data, and load-case identity.</w:t>
      </w:r>
    </w:p>
    <w:p>
      <w:pPr>
        <w:pStyle w:val="ListBullet"/>
      </w:pPr>
      <w:r>
        <w:t>No manufacturing package shall be released without human signoff.</w:t>
      </w:r>
    </w:p>
    <w:p>
      <w:pPr>
        <w:pStyle w:val="Heading1"/>
      </w:pPr>
      <w:r>
        <w:t>3. Requirements-to-Release Workflow</w:t>
      </w:r>
    </w:p>
    <w:tbl>
      <w:tblPr>
        <w:tblStyle w:val="TableGrid"/>
        <w:tblW w:type="dxa" w:w="9360"/>
        <w:tblLook w:firstColumn="1" w:firstRow="1" w:lastColumn="0" w:lastRow="0" w:noHBand="0" w:noVBand="1" w:val="04A0"/>
        <w:tblInd w:w="120" w:type="dxa"/>
        <w:tblLayout w:type="fixed"/>
      </w:tblPr>
      <w:tblGrid>
        <w:gridCol w:w="9360"/>
      </w:tblGrid>
      <w:tr>
        <w:trPr>
          <w:cantSplit w:val="true"/>
        </w:trPr>
        <w:tc>
          <w:tcPr>
            <w:tcW w:type="dxa" w:w="9360"/>
            <w:vAlign w:val="center"/>
            <w:tcMar>
              <w:top w:w="80" w:type="dxa"/>
              <w:start w:w="120" w:type="dxa"/>
              <w:bottom w:w="80" w:type="dxa"/>
              <w:end w:w="120" w:type="dxa"/>
            </w:tcMar>
            <w:shd w:fill="FBFCFE"/>
          </w:tcPr>
          <w:p>
            <w:pPr>
              <w:spacing w:after="0"/>
            </w:pPr>
            <w:r>
              <w:rPr>
                <w:rFonts w:ascii="Courier New" w:hAnsi="Courier New"/>
                <w:color w:val="0B2545"/>
                <w:sz w:val="17"/>
              </w:rPr>
              <w:t>User Requirements</w:t>
              <w:br/>
              <w:t xml:space="preserve">  -&gt; Design Contract</w:t>
              <w:br/>
              <w:t xml:space="preserve">    -&gt; Evidence Retrieval and Source Binding</w:t>
              <w:br/>
              <w:t xml:space="preserve">      -&gt; Deterministic Sizing and Multiphysics Synthesis</w:t>
              <w:br/>
              <w:t xml:space="preserve">        -&gt; Parametric CAD Generation</w:t>
              <w:br/>
              <w:t xml:space="preserve">          -&gt; Topology / Shape Optimization Candidates</w:t>
              <w:br/>
              <w:t xml:space="preserve">            -&gt; Clean CAD Reconstruction</w:t>
              <w:br/>
              <w:t xml:space="preserve">              -&gt; External CFD / FEA / FEM / Dynamics Validation</w:t>
              <w:br/>
              <w:t xml:space="preserve">                -&gt; COSMOS Comparison Cockpit</w:t>
              <w:br/>
              <w:t xml:space="preserve">                  -&gt; Human Review Gate</w:t>
              <w:br/>
              <w:t xml:space="preserve">                    -&gt; Manufacturing Release Passport</w:t>
              <w:br/>
              <w:t xml:space="preserve">                      -&gt; STEP / CAE / 3MF-STL / Engineering Report Package</w:t>
            </w:r>
          </w:p>
        </w:tc>
      </w:tr>
    </w:tbl>
    <w:p>
      <w:pPr>
        <w:spacing w:before="0" w:after="40" w:line="240" w:lineRule="auto"/>
      </w:pPr>
      <w:r>
        <w:rPr>
          <w:rFonts w:ascii="Calibri" w:hAnsi="Calibri"/>
          <w:sz w:val="2"/>
        </w:rPr>
        <w:t xml:space="preserve"> </w:t>
      </w:r>
    </w:p>
    <w:p>
      <w:r>
        <w:t>The initial user inputs may include propellant pair, target thrust, chamber pressure, burn time, feed architecture, cooling strategy, manufacturing method, material preferences, altitude condition, safety factors, and packaging limits. COSMOS shall immediately convert these into a design contract rather than passing raw values directly into solvers.</w:t>
      </w:r>
    </w:p>
    <w:tbl>
      <w:tblPr>
        <w:tblStyle w:val="TableGrid"/>
        <w:tblW w:type="dxa" w:w="9360"/>
        <w:jc w:val="left"/>
        <w:tblLook w:firstColumn="1" w:firstRow="1" w:lastColumn="0" w:lastRow="0" w:noHBand="0" w:noVBand="1" w:val="04A0"/>
        <w:tblInd w:w="120" w:type="dxa"/>
        <w:tblLayout w:type="fixed"/>
      </w:tblPr>
      <w:tblGrid>
        <w:gridCol w:w="1700"/>
        <w:gridCol w:w="4300"/>
        <w:gridCol w:w="3360"/>
      </w:tblGrid>
      <w:tr>
        <w:trPr>
          <w:tblHeader w:val="true"/>
          <w:cantSplit w:val="true"/>
        </w:trPr>
        <w:tc>
          <w:tcPr>
            <w:tcW w:type="dxa" w:w="1700"/>
            <w:vAlign w:val="center"/>
            <w:tcMar>
              <w:top w:w="80" w:type="dxa"/>
              <w:start w:w="120" w:type="dxa"/>
              <w:bottom w:w="80" w:type="dxa"/>
              <w:end w:w="120" w:type="dxa"/>
            </w:tcMar>
            <w:shd w:fill="F2F4F7"/>
          </w:tcPr>
          <w:p>
            <w:pPr>
              <w:spacing w:after="0"/>
            </w:pPr>
            <w:r>
              <w:rPr>
                <w:rFonts w:ascii="Calibri" w:hAnsi="Calibri"/>
                <w:b/>
                <w:color w:val="0B2545"/>
                <w:sz w:val="19"/>
              </w:rPr>
              <w:t>Input Class</w:t>
            </w:r>
          </w:p>
        </w:tc>
        <w:tc>
          <w:tcPr>
            <w:tcW w:type="dxa" w:w="4300"/>
            <w:vAlign w:val="center"/>
            <w:tcMar>
              <w:top w:w="80" w:type="dxa"/>
              <w:start w:w="120" w:type="dxa"/>
              <w:bottom w:w="80" w:type="dxa"/>
              <w:end w:w="120" w:type="dxa"/>
            </w:tcMar>
            <w:shd w:fill="F2F4F7"/>
          </w:tcPr>
          <w:p>
            <w:pPr>
              <w:spacing w:after="0"/>
            </w:pPr>
            <w:r>
              <w:rPr>
                <w:rFonts w:ascii="Calibri" w:hAnsi="Calibri"/>
                <w:b/>
                <w:color w:val="0B2545"/>
                <w:sz w:val="19"/>
              </w:rPr>
              <w:t>Examples</w:t>
            </w:r>
          </w:p>
        </w:tc>
        <w:tc>
          <w:tcPr>
            <w:tcW w:type="dxa" w:w="3360"/>
            <w:vAlign w:val="center"/>
            <w:tcMar>
              <w:top w:w="80" w:type="dxa"/>
              <w:start w:w="120" w:type="dxa"/>
              <w:bottom w:w="80" w:type="dxa"/>
              <w:end w:w="120" w:type="dxa"/>
            </w:tcMar>
            <w:shd w:fill="F2F4F7"/>
          </w:tcPr>
          <w:p>
            <w:pPr>
              <w:spacing w:after="0"/>
            </w:pPr>
            <w:r>
              <w:rPr>
                <w:rFonts w:ascii="Calibri" w:hAnsi="Calibri"/>
                <w:b/>
                <w:color w:val="0B2545"/>
                <w:sz w:val="19"/>
              </w:rPr>
              <w:t>Validation Requirement</w:t>
            </w:r>
          </w:p>
        </w:tc>
      </w:tr>
      <w:tr>
        <w:trPr>
          <w:cantSplit w:val="true"/>
        </w:trPr>
        <w:tc>
          <w:tcPr>
            <w:tcW w:type="dxa" w:w="1700"/>
            <w:tcMar>
              <w:top w:w="80" w:type="dxa"/>
              <w:start w:w="120" w:type="dxa"/>
              <w:bottom w:w="80" w:type="dxa"/>
              <w:end w:w="120" w:type="dxa"/>
            </w:tcMar>
          </w:tcPr>
          <w:p>
            <w:pPr>
              <w:spacing w:after="0"/>
            </w:pPr>
            <w:r>
              <w:rPr>
                <w:rFonts w:ascii="Calibri" w:hAnsi="Calibri"/>
                <w:color w:val="000000"/>
                <w:sz w:val="19"/>
              </w:rPr>
              <w:t>Mission and operating point</w:t>
            </w:r>
          </w:p>
        </w:tc>
        <w:tc>
          <w:tcPr>
            <w:tcW w:type="dxa" w:w="4300"/>
            <w:tcMar>
              <w:top w:w="80" w:type="dxa"/>
              <w:start w:w="120" w:type="dxa"/>
              <w:bottom w:w="80" w:type="dxa"/>
              <w:end w:w="120" w:type="dxa"/>
            </w:tcMar>
          </w:tcPr>
          <w:p>
            <w:pPr>
              <w:spacing w:after="0"/>
            </w:pPr>
            <w:r>
              <w:rPr>
                <w:rFonts w:ascii="Calibri" w:hAnsi="Calibri"/>
                <w:color w:val="000000"/>
                <w:sz w:val="19"/>
              </w:rPr>
              <w:t>Thrust, burn time, altitude, duty cycle, restart count</w:t>
            </w:r>
          </w:p>
        </w:tc>
        <w:tc>
          <w:tcPr>
            <w:tcW w:type="dxa" w:w="3360"/>
            <w:tcMar>
              <w:top w:w="80" w:type="dxa"/>
              <w:start w:w="120" w:type="dxa"/>
              <w:bottom w:w="80" w:type="dxa"/>
              <w:end w:w="120" w:type="dxa"/>
            </w:tcMar>
          </w:tcPr>
          <w:p>
            <w:pPr>
              <w:spacing w:after="0"/>
            </w:pPr>
            <w:r>
              <w:rPr>
                <w:rFonts w:ascii="Calibri" w:hAnsi="Calibri"/>
                <w:color w:val="000000"/>
                <w:sz w:val="19"/>
              </w:rPr>
              <w:t>Finite values, units, completeness, intended regime</w:t>
            </w:r>
          </w:p>
        </w:tc>
      </w:tr>
      <w:tr>
        <w:trPr>
          <w:cantSplit w:val="true"/>
        </w:trPr>
        <w:tc>
          <w:tcPr>
            <w:tcW w:type="dxa" w:w="1700"/>
            <w:tcMar>
              <w:top w:w="80" w:type="dxa"/>
              <w:start w:w="120" w:type="dxa"/>
              <w:bottom w:w="80" w:type="dxa"/>
              <w:end w:w="120" w:type="dxa"/>
            </w:tcMar>
          </w:tcPr>
          <w:p>
            <w:pPr>
              <w:spacing w:after="0"/>
            </w:pPr>
            <w:r>
              <w:rPr>
                <w:rFonts w:ascii="Calibri" w:hAnsi="Calibri"/>
                <w:color w:val="000000"/>
                <w:sz w:val="19"/>
              </w:rPr>
              <w:t>Propulsion configuration</w:t>
            </w:r>
          </w:p>
        </w:tc>
        <w:tc>
          <w:tcPr>
            <w:tcW w:type="dxa" w:w="4300"/>
            <w:tcMar>
              <w:top w:w="80" w:type="dxa"/>
              <w:start w:w="120" w:type="dxa"/>
              <w:bottom w:w="80" w:type="dxa"/>
              <w:end w:w="120" w:type="dxa"/>
            </w:tcMar>
          </w:tcPr>
          <w:p>
            <w:pPr>
              <w:spacing w:after="0"/>
            </w:pPr>
            <w:r>
              <w:rPr>
                <w:rFonts w:ascii="Calibri" w:hAnsi="Calibri"/>
                <w:color w:val="000000"/>
                <w:sz w:val="19"/>
              </w:rPr>
              <w:t>Pressure-fed, pump-fed, gas-generator, expander, staged-combustion future options</w:t>
            </w:r>
          </w:p>
        </w:tc>
        <w:tc>
          <w:tcPr>
            <w:tcW w:type="dxa" w:w="3360"/>
            <w:tcMar>
              <w:top w:w="80" w:type="dxa"/>
              <w:start w:w="120" w:type="dxa"/>
              <w:bottom w:w="80" w:type="dxa"/>
              <w:end w:w="120" w:type="dxa"/>
            </w:tcMar>
          </w:tcPr>
          <w:p>
            <w:pPr>
              <w:spacing w:after="0"/>
            </w:pPr>
            <w:r>
              <w:rPr>
                <w:rFonts w:ascii="Calibri" w:hAnsi="Calibri"/>
                <w:color w:val="000000"/>
                <w:sz w:val="19"/>
              </w:rPr>
              <w:t>Supported cycle and maturity status</w:t>
            </w:r>
          </w:p>
        </w:tc>
      </w:tr>
      <w:tr>
        <w:trPr>
          <w:cantSplit w:val="true"/>
        </w:trPr>
        <w:tc>
          <w:tcPr>
            <w:tcW w:type="dxa" w:w="1700"/>
            <w:tcMar>
              <w:top w:w="80" w:type="dxa"/>
              <w:start w:w="120" w:type="dxa"/>
              <w:bottom w:w="80" w:type="dxa"/>
              <w:end w:w="120" w:type="dxa"/>
            </w:tcMar>
          </w:tcPr>
          <w:p>
            <w:pPr>
              <w:spacing w:after="0"/>
            </w:pPr>
            <w:r>
              <w:rPr>
                <w:rFonts w:ascii="Calibri" w:hAnsi="Calibri"/>
                <w:color w:val="000000"/>
                <w:sz w:val="19"/>
              </w:rPr>
              <w:t>Propellants</w:t>
            </w:r>
          </w:p>
        </w:tc>
        <w:tc>
          <w:tcPr>
            <w:tcW w:type="dxa" w:w="4300"/>
            <w:tcMar>
              <w:top w:w="80" w:type="dxa"/>
              <w:start w:w="120" w:type="dxa"/>
              <w:bottom w:w="80" w:type="dxa"/>
              <w:end w:w="120" w:type="dxa"/>
            </w:tcMar>
          </w:tcPr>
          <w:p>
            <w:pPr>
              <w:spacing w:after="0"/>
            </w:pPr>
            <w:r>
              <w:rPr>
                <w:rFonts w:ascii="Calibri" w:hAnsi="Calibri"/>
                <w:color w:val="000000"/>
                <w:sz w:val="19"/>
              </w:rPr>
              <w:t>LOX/LCH4, LOX/LH2, LOX/RP-1, future monopropellant or storable options</w:t>
            </w:r>
          </w:p>
        </w:tc>
        <w:tc>
          <w:tcPr>
            <w:tcW w:type="dxa" w:w="3360"/>
            <w:tcMar>
              <w:top w:w="80" w:type="dxa"/>
              <w:start w:w="120" w:type="dxa"/>
              <w:bottom w:w="80" w:type="dxa"/>
              <w:end w:w="120" w:type="dxa"/>
            </w:tcMar>
          </w:tcPr>
          <w:p>
            <w:pPr>
              <w:spacing w:after="0"/>
            </w:pPr>
            <w:r>
              <w:rPr>
                <w:rFonts w:ascii="Calibri" w:hAnsi="Calibri"/>
                <w:color w:val="000000"/>
                <w:sz w:val="19"/>
              </w:rPr>
              <w:t>Traceable property database and CEA species mapping</w:t>
            </w:r>
          </w:p>
        </w:tc>
      </w:tr>
      <w:tr>
        <w:trPr>
          <w:cantSplit w:val="true"/>
        </w:trPr>
        <w:tc>
          <w:tcPr>
            <w:tcW w:type="dxa" w:w="1700"/>
            <w:tcMar>
              <w:top w:w="80" w:type="dxa"/>
              <w:start w:w="120" w:type="dxa"/>
              <w:bottom w:w="80" w:type="dxa"/>
              <w:end w:w="120" w:type="dxa"/>
            </w:tcMar>
          </w:tcPr>
          <w:p>
            <w:pPr>
              <w:spacing w:after="0"/>
            </w:pPr>
            <w:r>
              <w:rPr>
                <w:rFonts w:ascii="Calibri" w:hAnsi="Calibri"/>
                <w:color w:val="000000"/>
                <w:sz w:val="19"/>
              </w:rPr>
              <w:t>Materials and manufacturing</w:t>
            </w:r>
          </w:p>
        </w:tc>
        <w:tc>
          <w:tcPr>
            <w:tcW w:type="dxa" w:w="4300"/>
            <w:tcMar>
              <w:top w:w="80" w:type="dxa"/>
              <w:start w:w="120" w:type="dxa"/>
              <w:bottom w:w="80" w:type="dxa"/>
              <w:end w:w="120" w:type="dxa"/>
            </w:tcMar>
          </w:tcPr>
          <w:p>
            <w:pPr>
              <w:spacing w:after="0"/>
            </w:pPr>
            <w:r>
              <w:rPr>
                <w:rFonts w:ascii="Calibri" w:hAnsi="Calibri"/>
                <w:color w:val="000000"/>
                <w:sz w:val="19"/>
              </w:rPr>
              <w:t>Inconel, copper alloys, GRCop family, additive process, machining limits</w:t>
            </w:r>
          </w:p>
        </w:tc>
        <w:tc>
          <w:tcPr>
            <w:tcW w:type="dxa" w:w="3360"/>
            <w:tcMar>
              <w:top w:w="80" w:type="dxa"/>
              <w:start w:w="120" w:type="dxa"/>
              <w:bottom w:w="80" w:type="dxa"/>
              <w:end w:w="120" w:type="dxa"/>
            </w:tcMar>
          </w:tcPr>
          <w:p>
            <w:pPr>
              <w:spacing w:after="0"/>
            </w:pPr>
            <w:r>
              <w:rPr>
                <w:rFonts w:ascii="Calibri" w:hAnsi="Calibri"/>
                <w:color w:val="000000"/>
                <w:sz w:val="19"/>
              </w:rPr>
              <w:t>Material source, thermal/structural limits, process capability</w:t>
            </w:r>
          </w:p>
        </w:tc>
      </w:tr>
      <w:tr>
        <w:trPr>
          <w:cantSplit w:val="true"/>
        </w:trPr>
        <w:tc>
          <w:tcPr>
            <w:tcW w:type="dxa" w:w="1700"/>
            <w:tcMar>
              <w:top w:w="80" w:type="dxa"/>
              <w:start w:w="120" w:type="dxa"/>
              <w:bottom w:w="80" w:type="dxa"/>
              <w:end w:w="120" w:type="dxa"/>
            </w:tcMar>
          </w:tcPr>
          <w:p>
            <w:pPr>
              <w:spacing w:after="0"/>
            </w:pPr>
            <w:r>
              <w:rPr>
                <w:rFonts w:ascii="Calibri" w:hAnsi="Calibri"/>
                <w:color w:val="000000"/>
                <w:sz w:val="19"/>
              </w:rPr>
              <w:t>Review strategy</w:t>
            </w:r>
          </w:p>
        </w:tc>
        <w:tc>
          <w:tcPr>
            <w:tcW w:type="dxa" w:w="4300"/>
            <w:tcMar>
              <w:top w:w="80" w:type="dxa"/>
              <w:start w:w="120" w:type="dxa"/>
              <w:bottom w:w="80" w:type="dxa"/>
              <w:end w:w="120" w:type="dxa"/>
            </w:tcMar>
          </w:tcPr>
          <w:p>
            <w:pPr>
              <w:spacing w:after="0"/>
            </w:pPr>
            <w:r>
              <w:rPr>
                <w:rFonts w:ascii="Calibri" w:hAnsi="Calibri"/>
                <w:color w:val="000000"/>
                <w:sz w:val="19"/>
              </w:rPr>
              <w:t>Internal validation, external Fluent/OpenFOAM/Nastran/Ansys review, test correlation</w:t>
            </w:r>
          </w:p>
        </w:tc>
        <w:tc>
          <w:tcPr>
            <w:tcW w:type="dxa" w:w="3360"/>
            <w:tcMar>
              <w:top w:w="80" w:type="dxa"/>
              <w:start w:w="120" w:type="dxa"/>
              <w:bottom w:w="80" w:type="dxa"/>
              <w:end w:w="120" w:type="dxa"/>
            </w:tcMar>
          </w:tcPr>
          <w:p>
            <w:pPr>
              <w:spacing w:after="0"/>
            </w:pPr>
            <w:r>
              <w:rPr>
                <w:rFonts w:ascii="Calibri" w:hAnsi="Calibri"/>
                <w:color w:val="000000"/>
                <w:sz w:val="19"/>
              </w:rPr>
              <w:t>Reviewer identity and required evidence package</w:t>
            </w:r>
          </w:p>
        </w:tc>
      </w:tr>
    </w:tbl>
    <w:p>
      <w:pPr>
        <w:spacing w:before="0" w:after="40" w:line="240" w:lineRule="auto"/>
      </w:pPr>
      <w:r>
        <w:rPr>
          <w:rFonts w:ascii="Calibri" w:hAnsi="Calibri"/>
          <w:sz w:val="2"/>
        </w:rPr>
        <w:t xml:space="preserve"> </w:t>
      </w:r>
    </w:p>
    <w:p>
      <w:pPr>
        <w:pStyle w:val="Heading1"/>
      </w:pPr>
      <w:r>
        <w:t>4. Layered Software Architecture</w:t>
      </w:r>
    </w:p>
    <w:p>
      <w:r>
        <w:t>The existing COSMOS layered architecture remains correct and should be extended with knowledge, CAD generation, optimization, simulation adapters, documentation, and release-governance layers. Dependencies should still point downward: UI calls backend APIs; backend orchestrates systems; systems combine physics models; physics depends only on core utilities and approved scientific libraries.</w:t>
      </w:r>
    </w:p>
    <w:tbl>
      <w:tblPr>
        <w:tblStyle w:val="TableGrid"/>
        <w:tblW w:type="dxa" w:w="9360"/>
        <w:jc w:val="left"/>
        <w:tblLook w:firstColumn="1" w:firstRow="1" w:lastColumn="0" w:lastRow="0" w:noHBand="0" w:noVBand="1" w:val="04A0"/>
        <w:tblInd w:w="120" w:type="dxa"/>
        <w:tblLayout w:type="fixed"/>
      </w:tblPr>
      <w:tblGrid>
        <w:gridCol w:w="1450"/>
        <w:gridCol w:w="4850"/>
        <w:gridCol w:w="3060"/>
      </w:tblGrid>
      <w:tr>
        <w:trPr>
          <w:tblHeader w:val="true"/>
          <w:cantSplit w:val="true"/>
        </w:trPr>
        <w:tc>
          <w:tcPr>
            <w:tcW w:type="dxa" w:w="1450"/>
            <w:vAlign w:val="center"/>
            <w:tcMar>
              <w:top w:w="80" w:type="dxa"/>
              <w:start w:w="120" w:type="dxa"/>
              <w:bottom w:w="80" w:type="dxa"/>
              <w:end w:w="120" w:type="dxa"/>
            </w:tcMar>
            <w:shd w:fill="F2F4F7"/>
          </w:tcPr>
          <w:p>
            <w:pPr>
              <w:spacing w:after="0"/>
            </w:pPr>
            <w:r>
              <w:rPr>
                <w:rFonts w:ascii="Calibri" w:hAnsi="Calibri"/>
                <w:b/>
                <w:color w:val="0B2545"/>
                <w:sz w:val="18"/>
              </w:rPr>
              <w:t>Layer</w:t>
            </w:r>
          </w:p>
        </w:tc>
        <w:tc>
          <w:tcPr>
            <w:tcW w:type="dxa" w:w="4850"/>
            <w:vAlign w:val="center"/>
            <w:tcMar>
              <w:top w:w="80" w:type="dxa"/>
              <w:start w:w="120" w:type="dxa"/>
              <w:bottom w:w="80" w:type="dxa"/>
              <w:end w:w="120" w:type="dxa"/>
            </w:tcMar>
            <w:shd w:fill="F2F4F7"/>
          </w:tcPr>
          <w:p>
            <w:pPr>
              <w:spacing w:after="0"/>
            </w:pPr>
            <w:r>
              <w:rPr>
                <w:rFonts w:ascii="Calibri" w:hAnsi="Calibri"/>
                <w:b/>
                <w:color w:val="0B2545"/>
                <w:sz w:val="18"/>
              </w:rPr>
              <w:t>Responsibilities</w:t>
            </w:r>
          </w:p>
        </w:tc>
        <w:tc>
          <w:tcPr>
            <w:tcW w:type="dxa" w:w="3060"/>
            <w:vAlign w:val="center"/>
            <w:tcMar>
              <w:top w:w="80" w:type="dxa"/>
              <w:start w:w="120" w:type="dxa"/>
              <w:bottom w:w="80" w:type="dxa"/>
              <w:end w:w="120" w:type="dxa"/>
            </w:tcMar>
            <w:shd w:fill="F2F4F7"/>
          </w:tcPr>
          <w:p>
            <w:pPr>
              <w:spacing w:after="0"/>
            </w:pPr>
            <w:r>
              <w:rPr>
                <w:rFonts w:ascii="Calibri" w:hAnsi="Calibri"/>
                <w:b/>
                <w:color w:val="0B2545"/>
                <w:sz w:val="18"/>
              </w:rPr>
              <w:t>Forbidden Responsibilities</w:t>
            </w:r>
          </w:p>
        </w:tc>
      </w:tr>
      <w:tr>
        <w:trPr>
          <w:cantSplit w:val="true"/>
        </w:trPr>
        <w:tc>
          <w:tcPr>
            <w:tcW w:type="dxa" w:w="1450"/>
            <w:tcMar>
              <w:top w:w="80" w:type="dxa"/>
              <w:start w:w="120" w:type="dxa"/>
              <w:bottom w:w="80" w:type="dxa"/>
              <w:end w:w="120" w:type="dxa"/>
            </w:tcMar>
          </w:tcPr>
          <w:p>
            <w:pPr>
              <w:spacing w:after="0"/>
            </w:pPr>
            <w:r>
              <w:rPr>
                <w:rFonts w:ascii="Calibri" w:hAnsi="Calibri"/>
                <w:color w:val="000000"/>
                <w:sz w:val="18"/>
              </w:rPr>
              <w:t>Core</w:t>
            </w:r>
          </w:p>
        </w:tc>
        <w:tc>
          <w:tcPr>
            <w:tcW w:type="dxa" w:w="4850"/>
            <w:tcMar>
              <w:top w:w="80" w:type="dxa"/>
              <w:start w:w="120" w:type="dxa"/>
              <w:bottom w:w="80" w:type="dxa"/>
              <w:end w:w="120" w:type="dxa"/>
            </w:tcMar>
          </w:tcPr>
          <w:p>
            <w:pPr>
              <w:spacing w:after="0"/>
            </w:pPr>
            <w:r>
              <w:rPr>
                <w:rFonts w:ascii="Calibri" w:hAnsi="Calibri"/>
                <w:color w:val="000000"/>
                <w:sz w:val="18"/>
              </w:rPr>
              <w:t>Units, constants, validation, logging, configuration, exceptions, numerical safety primitives</w:t>
            </w:r>
          </w:p>
        </w:tc>
        <w:tc>
          <w:tcPr>
            <w:tcW w:type="dxa" w:w="3060"/>
            <w:tcMar>
              <w:top w:w="80" w:type="dxa"/>
              <w:start w:w="120" w:type="dxa"/>
              <w:bottom w:w="80" w:type="dxa"/>
              <w:end w:w="120" w:type="dxa"/>
            </w:tcMar>
          </w:tcPr>
          <w:p>
            <w:pPr>
              <w:spacing w:after="0"/>
            </w:pPr>
            <w:r>
              <w:rPr>
                <w:rFonts w:ascii="Calibri" w:hAnsi="Calibri"/>
                <w:color w:val="000000"/>
                <w:sz w:val="18"/>
              </w:rPr>
              <w:t>Engineering equations, GUI, workflow policy</w:t>
            </w:r>
          </w:p>
        </w:tc>
      </w:tr>
      <w:tr>
        <w:trPr>
          <w:cantSplit w:val="true"/>
        </w:trPr>
        <w:tc>
          <w:tcPr>
            <w:tcW w:type="dxa" w:w="1450"/>
            <w:tcMar>
              <w:top w:w="80" w:type="dxa"/>
              <w:start w:w="120" w:type="dxa"/>
              <w:bottom w:w="80" w:type="dxa"/>
              <w:end w:w="120" w:type="dxa"/>
            </w:tcMar>
          </w:tcPr>
          <w:p>
            <w:pPr>
              <w:spacing w:after="0"/>
            </w:pPr>
            <w:r>
              <w:rPr>
                <w:rFonts w:ascii="Calibri" w:hAnsi="Calibri"/>
                <w:color w:val="000000"/>
                <w:sz w:val="18"/>
              </w:rPr>
              <w:t>Knowledge Foundation</w:t>
            </w:r>
          </w:p>
        </w:tc>
        <w:tc>
          <w:tcPr>
            <w:tcW w:type="dxa" w:w="4850"/>
            <w:tcMar>
              <w:top w:w="80" w:type="dxa"/>
              <w:start w:w="120" w:type="dxa"/>
              <w:bottom w:w="80" w:type="dxa"/>
              <w:end w:w="120" w:type="dxa"/>
            </w:tcMar>
          </w:tcPr>
          <w:p>
            <w:pPr>
              <w:spacing w:after="0"/>
            </w:pPr>
            <w:r>
              <w:rPr>
                <w:rFonts w:ascii="Calibri" w:hAnsi="Calibri"/>
                <w:color w:val="000000"/>
                <w:sz w:val="18"/>
              </w:rPr>
              <w:t>References, documents, equations, variables, units, constants, materials, propellants, assumptions, validity ranges</w:t>
            </w:r>
          </w:p>
        </w:tc>
        <w:tc>
          <w:tcPr>
            <w:tcW w:type="dxa" w:w="3060"/>
            <w:tcMar>
              <w:top w:w="80" w:type="dxa"/>
              <w:start w:w="120" w:type="dxa"/>
              <w:bottom w:w="80" w:type="dxa"/>
              <w:end w:w="120" w:type="dxa"/>
            </w:tcMar>
          </w:tcPr>
          <w:p>
            <w:pPr>
              <w:spacing w:after="0"/>
            </w:pPr>
            <w:r>
              <w:rPr>
                <w:rFonts w:ascii="Calibri" w:hAnsi="Calibri"/>
                <w:color w:val="000000"/>
                <w:sz w:val="18"/>
              </w:rPr>
              <w:t>Unverified AI-generated equations, direct solver execution</w:t>
            </w:r>
          </w:p>
        </w:tc>
      </w:tr>
      <w:tr>
        <w:trPr>
          <w:cantSplit w:val="true"/>
        </w:trPr>
        <w:tc>
          <w:tcPr>
            <w:tcW w:type="dxa" w:w="1450"/>
            <w:tcMar>
              <w:top w:w="80" w:type="dxa"/>
              <w:start w:w="120" w:type="dxa"/>
              <w:bottom w:w="80" w:type="dxa"/>
              <w:end w:w="120" w:type="dxa"/>
            </w:tcMar>
          </w:tcPr>
          <w:p>
            <w:pPr>
              <w:spacing w:after="0"/>
            </w:pPr>
            <w:r>
              <w:rPr>
                <w:rFonts w:ascii="Calibri" w:hAnsi="Calibri"/>
                <w:color w:val="000000"/>
                <w:sz w:val="18"/>
              </w:rPr>
              <w:t>Physics</w:t>
            </w:r>
          </w:p>
        </w:tc>
        <w:tc>
          <w:tcPr>
            <w:tcW w:type="dxa" w:w="4850"/>
            <w:tcMar>
              <w:top w:w="80" w:type="dxa"/>
              <w:start w:w="120" w:type="dxa"/>
              <w:bottom w:w="80" w:type="dxa"/>
              <w:end w:w="120" w:type="dxa"/>
            </w:tcMar>
          </w:tcPr>
          <w:p>
            <w:pPr>
              <w:spacing w:after="0"/>
            </w:pPr>
            <w:r>
              <w:rPr>
                <w:rFonts w:ascii="Calibri" w:hAnsi="Calibri"/>
                <w:color w:val="000000"/>
                <w:sz w:val="18"/>
              </w:rPr>
              <w:t>Thermochemistry, gas dynamics, heat transfer, fluids, materials physics, structural formulas</w:t>
            </w:r>
          </w:p>
        </w:tc>
        <w:tc>
          <w:tcPr>
            <w:tcW w:type="dxa" w:w="3060"/>
            <w:tcMar>
              <w:top w:w="80" w:type="dxa"/>
              <w:start w:w="120" w:type="dxa"/>
              <w:bottom w:w="80" w:type="dxa"/>
              <w:end w:w="120" w:type="dxa"/>
            </w:tcMar>
          </w:tcPr>
          <w:p>
            <w:pPr>
              <w:spacing w:after="0"/>
            </w:pPr>
            <w:r>
              <w:rPr>
                <w:rFonts w:ascii="Calibri" w:hAnsi="Calibri"/>
                <w:color w:val="000000"/>
                <w:sz w:val="18"/>
              </w:rPr>
              <w:t>Application workflows, CAD decisions, UI</w:t>
            </w:r>
          </w:p>
        </w:tc>
      </w:tr>
      <w:tr>
        <w:trPr>
          <w:cantSplit w:val="true"/>
        </w:trPr>
        <w:tc>
          <w:tcPr>
            <w:tcW w:type="dxa" w:w="1450"/>
            <w:tcMar>
              <w:top w:w="80" w:type="dxa"/>
              <w:start w:w="120" w:type="dxa"/>
              <w:bottom w:w="80" w:type="dxa"/>
              <w:end w:w="120" w:type="dxa"/>
            </w:tcMar>
          </w:tcPr>
          <w:p>
            <w:pPr>
              <w:spacing w:after="0"/>
            </w:pPr>
            <w:r>
              <w:rPr>
                <w:rFonts w:ascii="Calibri" w:hAnsi="Calibri"/>
                <w:color w:val="000000"/>
                <w:sz w:val="18"/>
              </w:rPr>
              <w:t>Systems</w:t>
            </w:r>
          </w:p>
        </w:tc>
        <w:tc>
          <w:tcPr>
            <w:tcW w:type="dxa" w:w="4850"/>
            <w:tcMar>
              <w:top w:w="80" w:type="dxa"/>
              <w:start w:w="120" w:type="dxa"/>
              <w:bottom w:w="80" w:type="dxa"/>
              <w:end w:w="120" w:type="dxa"/>
            </w:tcMar>
          </w:tcPr>
          <w:p>
            <w:pPr>
              <w:spacing w:after="0"/>
            </w:pPr>
            <w:r>
              <w:rPr>
                <w:rFonts w:ascii="Calibri" w:hAnsi="Calibri"/>
                <w:color w:val="000000"/>
                <w:sz w:val="18"/>
              </w:rPr>
              <w:t>Injector, cooling, chamber/nozzle, igniter, feed-system, structure, reliability assemblies</w:t>
            </w:r>
          </w:p>
        </w:tc>
        <w:tc>
          <w:tcPr>
            <w:tcW w:type="dxa" w:w="3060"/>
            <w:tcMar>
              <w:top w:w="80" w:type="dxa"/>
              <w:start w:w="120" w:type="dxa"/>
              <w:bottom w:w="80" w:type="dxa"/>
              <w:end w:w="120" w:type="dxa"/>
            </w:tcMar>
          </w:tcPr>
          <w:p>
            <w:pPr>
              <w:spacing w:after="0"/>
            </w:pPr>
            <w:r>
              <w:rPr>
                <w:rFonts w:ascii="Calibri" w:hAnsi="Calibri"/>
                <w:color w:val="000000"/>
                <w:sz w:val="18"/>
              </w:rPr>
              <w:t>GUI and persistence internals</w:t>
            </w:r>
          </w:p>
        </w:tc>
      </w:tr>
      <w:tr>
        <w:trPr>
          <w:cantSplit w:val="true"/>
        </w:trPr>
        <w:tc>
          <w:tcPr>
            <w:tcW w:type="dxa" w:w="1450"/>
            <w:tcMar>
              <w:top w:w="80" w:type="dxa"/>
              <w:start w:w="120" w:type="dxa"/>
              <w:bottom w:w="80" w:type="dxa"/>
              <w:end w:w="120" w:type="dxa"/>
            </w:tcMar>
          </w:tcPr>
          <w:p>
            <w:pPr>
              <w:spacing w:after="0"/>
            </w:pPr>
            <w:r>
              <w:rPr>
                <w:rFonts w:ascii="Calibri" w:hAnsi="Calibri"/>
                <w:color w:val="000000"/>
                <w:sz w:val="18"/>
              </w:rPr>
              <w:t>Backend</w:t>
            </w:r>
          </w:p>
        </w:tc>
        <w:tc>
          <w:tcPr>
            <w:tcW w:type="dxa" w:w="4850"/>
            <w:tcMar>
              <w:top w:w="80" w:type="dxa"/>
              <w:start w:w="120" w:type="dxa"/>
              <w:bottom w:w="80" w:type="dxa"/>
              <w:end w:w="120" w:type="dxa"/>
            </w:tcMar>
          </w:tcPr>
          <w:p>
            <w:pPr>
              <w:spacing w:after="0"/>
            </w:pPr>
            <w:r>
              <w:rPr>
                <w:rFonts w:ascii="Calibri" w:hAnsi="Calibri"/>
                <w:color w:val="000000"/>
                <w:sz w:val="18"/>
              </w:rPr>
              <w:t>Solver orchestration, optimization runs, dependency scheduling, project state, API boundaries</w:t>
            </w:r>
          </w:p>
        </w:tc>
        <w:tc>
          <w:tcPr>
            <w:tcW w:type="dxa" w:w="3060"/>
            <w:tcMar>
              <w:top w:w="80" w:type="dxa"/>
              <w:start w:w="120" w:type="dxa"/>
              <w:bottom w:w="80" w:type="dxa"/>
              <w:end w:w="120" w:type="dxa"/>
            </w:tcMar>
          </w:tcPr>
          <w:p>
            <w:pPr>
              <w:spacing w:after="0"/>
            </w:pPr>
            <w:r>
              <w:rPr>
                <w:rFonts w:ascii="Calibri" w:hAnsi="Calibri"/>
                <w:color w:val="000000"/>
                <w:sz w:val="18"/>
              </w:rPr>
              <w:t>Raw equation definitions without source traceability</w:t>
            </w:r>
          </w:p>
        </w:tc>
      </w:tr>
      <w:tr>
        <w:trPr>
          <w:cantSplit w:val="true"/>
        </w:trPr>
        <w:tc>
          <w:tcPr>
            <w:tcW w:type="dxa" w:w="1450"/>
            <w:tcMar>
              <w:top w:w="80" w:type="dxa"/>
              <w:start w:w="120" w:type="dxa"/>
              <w:bottom w:w="80" w:type="dxa"/>
              <w:end w:w="120" w:type="dxa"/>
            </w:tcMar>
          </w:tcPr>
          <w:p>
            <w:pPr>
              <w:spacing w:after="0"/>
            </w:pPr>
            <w:r>
              <w:rPr>
                <w:rFonts w:ascii="Calibri" w:hAnsi="Calibri"/>
                <w:color w:val="000000"/>
                <w:sz w:val="18"/>
              </w:rPr>
              <w:t>CAD/Geometry</w:t>
            </w:r>
          </w:p>
        </w:tc>
        <w:tc>
          <w:tcPr>
            <w:tcW w:type="dxa" w:w="4850"/>
            <w:tcMar>
              <w:top w:w="80" w:type="dxa"/>
              <w:start w:w="120" w:type="dxa"/>
              <w:bottom w:w="80" w:type="dxa"/>
              <w:end w:w="120" w:type="dxa"/>
            </w:tcMar>
          </w:tcPr>
          <w:p>
            <w:pPr>
              <w:spacing w:after="0"/>
            </w:pPr>
            <w:r>
              <w:rPr>
                <w:rFonts w:ascii="Calibri" w:hAnsi="Calibri"/>
                <w:color w:val="000000"/>
                <w:sz w:val="18"/>
              </w:rPr>
              <w:t>Parametric models, implicit geometry, feature graph, topology reconstruction, export packages</w:t>
            </w:r>
          </w:p>
        </w:tc>
        <w:tc>
          <w:tcPr>
            <w:tcW w:type="dxa" w:w="3060"/>
            <w:tcMar>
              <w:top w:w="80" w:type="dxa"/>
              <w:start w:w="120" w:type="dxa"/>
              <w:bottom w:w="80" w:type="dxa"/>
              <w:end w:w="120" w:type="dxa"/>
            </w:tcMar>
          </w:tcPr>
          <w:p>
            <w:pPr>
              <w:spacing w:after="0"/>
            </w:pPr>
            <w:r>
              <w:rPr>
                <w:rFonts w:ascii="Calibri" w:hAnsi="Calibri"/>
                <w:color w:val="000000"/>
                <w:sz w:val="18"/>
              </w:rPr>
              <w:t>Unsupported manufacturing release decisions</w:t>
            </w:r>
          </w:p>
        </w:tc>
      </w:tr>
      <w:tr>
        <w:trPr>
          <w:cantSplit w:val="true"/>
        </w:trPr>
        <w:tc>
          <w:tcPr>
            <w:tcW w:type="dxa" w:w="1450"/>
            <w:tcMar>
              <w:top w:w="80" w:type="dxa"/>
              <w:start w:w="120" w:type="dxa"/>
              <w:bottom w:w="80" w:type="dxa"/>
              <w:end w:w="120" w:type="dxa"/>
            </w:tcMar>
          </w:tcPr>
          <w:p>
            <w:pPr>
              <w:spacing w:after="0"/>
            </w:pPr>
            <w:r>
              <w:rPr>
                <w:rFonts w:ascii="Calibri" w:hAnsi="Calibri"/>
                <w:color w:val="000000"/>
                <w:sz w:val="18"/>
              </w:rPr>
              <w:t>Simulation Adapters</w:t>
            </w:r>
          </w:p>
        </w:tc>
        <w:tc>
          <w:tcPr>
            <w:tcW w:type="dxa" w:w="4850"/>
            <w:tcMar>
              <w:top w:w="80" w:type="dxa"/>
              <w:start w:w="120" w:type="dxa"/>
              <w:bottom w:w="80" w:type="dxa"/>
              <w:end w:w="120" w:type="dxa"/>
            </w:tcMar>
          </w:tcPr>
          <w:p>
            <w:pPr>
              <w:spacing w:after="0"/>
            </w:pPr>
            <w:r>
              <w:rPr>
                <w:rFonts w:ascii="Calibri" w:hAnsi="Calibri"/>
                <w:color w:val="000000"/>
                <w:sz w:val="18"/>
              </w:rPr>
              <w:t>Ansys, Fluent, OpenFOAM, Nastran, NX, Abaqus, Simcenter, Adams, Simulink, Dymola integration</w:t>
            </w:r>
          </w:p>
        </w:tc>
        <w:tc>
          <w:tcPr>
            <w:tcW w:type="dxa" w:w="3060"/>
            <w:tcMar>
              <w:top w:w="80" w:type="dxa"/>
              <w:start w:w="120" w:type="dxa"/>
              <w:bottom w:w="80" w:type="dxa"/>
              <w:end w:w="120" w:type="dxa"/>
            </w:tcMar>
          </w:tcPr>
          <w:p>
            <w:pPr>
              <w:spacing w:after="0"/>
            </w:pPr>
            <w:r>
              <w:rPr>
                <w:rFonts w:ascii="Calibri" w:hAnsi="Calibri"/>
                <w:color w:val="000000"/>
                <w:sz w:val="18"/>
              </w:rPr>
              <w:t>Silently modifying design intent</w:t>
            </w:r>
          </w:p>
        </w:tc>
      </w:tr>
      <w:tr>
        <w:trPr>
          <w:cantSplit w:val="true"/>
        </w:trPr>
        <w:tc>
          <w:tcPr>
            <w:tcW w:type="dxa" w:w="1450"/>
            <w:tcMar>
              <w:top w:w="80" w:type="dxa"/>
              <w:start w:w="120" w:type="dxa"/>
              <w:bottom w:w="80" w:type="dxa"/>
              <w:end w:w="120" w:type="dxa"/>
            </w:tcMar>
          </w:tcPr>
          <w:p>
            <w:pPr>
              <w:spacing w:after="0"/>
            </w:pPr>
            <w:r>
              <w:rPr>
                <w:rFonts w:ascii="Calibri" w:hAnsi="Calibri"/>
                <w:color w:val="000000"/>
                <w:sz w:val="18"/>
              </w:rPr>
              <w:t>GUI/UX</w:t>
            </w:r>
          </w:p>
        </w:tc>
        <w:tc>
          <w:tcPr>
            <w:tcW w:type="dxa" w:w="4850"/>
            <w:tcMar>
              <w:top w:w="80" w:type="dxa"/>
              <w:start w:w="120" w:type="dxa"/>
              <w:bottom w:w="80" w:type="dxa"/>
              <w:end w:w="120" w:type="dxa"/>
            </w:tcMar>
          </w:tcPr>
          <w:p>
            <w:pPr>
              <w:spacing w:after="0"/>
            </w:pPr>
            <w:r>
              <w:rPr>
                <w:rFonts w:ascii="Calibri" w:hAnsi="Calibri"/>
                <w:color w:val="000000"/>
                <w:sz w:val="18"/>
              </w:rPr>
              <w:t>Input capture, workflow navigation, results display, comparison cockpit, review boards</w:t>
            </w:r>
          </w:p>
        </w:tc>
        <w:tc>
          <w:tcPr>
            <w:tcW w:type="dxa" w:w="3060"/>
            <w:tcMar>
              <w:top w:w="80" w:type="dxa"/>
              <w:start w:w="120" w:type="dxa"/>
              <w:bottom w:w="80" w:type="dxa"/>
              <w:end w:w="120" w:type="dxa"/>
            </w:tcMar>
          </w:tcPr>
          <w:p>
            <w:pPr>
              <w:spacing w:after="0"/>
            </w:pPr>
            <w:r>
              <w:rPr>
                <w:rFonts w:ascii="Calibri" w:hAnsi="Calibri"/>
                <w:color w:val="000000"/>
                <w:sz w:val="18"/>
              </w:rPr>
              <w:t>Performing calculations directly</w:t>
            </w:r>
          </w:p>
        </w:tc>
      </w:tr>
      <w:tr>
        <w:trPr>
          <w:cantSplit w:val="true"/>
        </w:trPr>
        <w:tc>
          <w:tcPr>
            <w:tcW w:type="dxa" w:w="1450"/>
            <w:tcMar>
              <w:top w:w="80" w:type="dxa"/>
              <w:start w:w="120" w:type="dxa"/>
              <w:bottom w:w="80" w:type="dxa"/>
              <w:end w:w="120" w:type="dxa"/>
            </w:tcMar>
          </w:tcPr>
          <w:p>
            <w:pPr>
              <w:spacing w:after="0"/>
            </w:pPr>
            <w:r>
              <w:rPr>
                <w:rFonts w:ascii="Calibri" w:hAnsi="Calibri"/>
                <w:color w:val="000000"/>
                <w:sz w:val="18"/>
              </w:rPr>
              <w:t>Documentation</w:t>
            </w:r>
          </w:p>
        </w:tc>
        <w:tc>
          <w:tcPr>
            <w:tcW w:type="dxa" w:w="4850"/>
            <w:tcMar>
              <w:top w:w="80" w:type="dxa"/>
              <w:start w:w="120" w:type="dxa"/>
              <w:bottom w:w="80" w:type="dxa"/>
              <w:end w:w="120" w:type="dxa"/>
            </w:tcMar>
          </w:tcPr>
          <w:p>
            <w:pPr>
              <w:spacing w:after="0"/>
            </w:pPr>
            <w:r>
              <w:rPr>
                <w:rFonts w:ascii="Calibri" w:hAnsi="Calibri"/>
                <w:color w:val="000000"/>
                <w:sz w:val="18"/>
              </w:rPr>
              <w:t>Design basis, calculation packages, analysis reports, release passports, audit logs</w:t>
            </w:r>
          </w:p>
        </w:tc>
        <w:tc>
          <w:tcPr>
            <w:tcW w:type="dxa" w:w="3060"/>
            <w:tcMar>
              <w:top w:w="80" w:type="dxa"/>
              <w:start w:w="120" w:type="dxa"/>
              <w:bottom w:w="80" w:type="dxa"/>
              <w:end w:w="120" w:type="dxa"/>
            </w:tcMar>
          </w:tcPr>
          <w:p>
            <w:pPr>
              <w:spacing w:after="0"/>
            </w:pPr>
            <w:r>
              <w:rPr>
                <w:rFonts w:ascii="Calibri" w:hAnsi="Calibri"/>
                <w:color w:val="000000"/>
                <w:sz w:val="18"/>
              </w:rPr>
              <w:t>Untraceable or manually detached reports</w:t>
            </w:r>
          </w:p>
        </w:tc>
      </w:tr>
    </w:tbl>
    <w:p>
      <w:pPr>
        <w:spacing w:before="0" w:after="40" w:line="240" w:lineRule="auto"/>
      </w:pPr>
      <w:r>
        <w:rPr>
          <w:rFonts w:ascii="Calibri" w:hAnsi="Calibri"/>
          <w:sz w:val="2"/>
        </w:rPr>
        <w:t xml:space="preserve"> </w:t>
      </w:r>
    </w:p>
    <w:p>
      <w:pPr>
        <w:pStyle w:val="Heading2"/>
      </w:pPr>
      <w:r>
        <w:t>4.1 Primary Python Technology Stack</w:t>
      </w:r>
    </w:p>
    <w:tbl>
      <w:tblPr>
        <w:tblStyle w:val="TableGrid"/>
        <w:tblW w:type="dxa" w:w="9360"/>
        <w:jc w:val="left"/>
        <w:tblLook w:firstColumn="1" w:firstRow="1" w:lastColumn="0" w:lastRow="0" w:noHBand="0" w:noVBand="1" w:val="04A0"/>
        <w:tblInd w:w="120" w:type="dxa"/>
        <w:tblLayout w:type="fixed"/>
      </w:tblPr>
      <w:tblGrid>
        <w:gridCol w:w="1850"/>
        <w:gridCol w:w="3550"/>
        <w:gridCol w:w="3960"/>
      </w:tblGrid>
      <w:tr>
        <w:trPr>
          <w:tblHeader w:val="true"/>
          <w:cantSplit w:val="true"/>
        </w:trPr>
        <w:tc>
          <w:tcPr>
            <w:tcW w:type="dxa" w:w="1850"/>
            <w:vAlign w:val="center"/>
            <w:tcMar>
              <w:top w:w="80" w:type="dxa"/>
              <w:start w:w="120" w:type="dxa"/>
              <w:bottom w:w="80" w:type="dxa"/>
              <w:end w:w="120" w:type="dxa"/>
            </w:tcMar>
            <w:shd w:fill="F2F4F7"/>
          </w:tcPr>
          <w:p>
            <w:pPr>
              <w:spacing w:after="0"/>
            </w:pPr>
            <w:r>
              <w:rPr>
                <w:rFonts w:ascii="Calibri" w:hAnsi="Calibri"/>
                <w:b/>
                <w:color w:val="0B2545"/>
                <w:sz w:val="18"/>
              </w:rPr>
              <w:t>Domain</w:t>
            </w:r>
          </w:p>
        </w:tc>
        <w:tc>
          <w:tcPr>
            <w:tcW w:type="dxa" w:w="3550"/>
            <w:vAlign w:val="center"/>
            <w:tcMar>
              <w:top w:w="80" w:type="dxa"/>
              <w:start w:w="120" w:type="dxa"/>
              <w:bottom w:w="80" w:type="dxa"/>
              <w:end w:w="120" w:type="dxa"/>
            </w:tcMar>
            <w:shd w:fill="F2F4F7"/>
          </w:tcPr>
          <w:p>
            <w:pPr>
              <w:spacing w:after="0"/>
            </w:pPr>
            <w:r>
              <w:rPr>
                <w:rFonts w:ascii="Calibri" w:hAnsi="Calibri"/>
                <w:b/>
                <w:color w:val="0B2545"/>
                <w:sz w:val="18"/>
              </w:rPr>
              <w:t>Recommended Primary Tools</w:t>
            </w:r>
          </w:p>
        </w:tc>
        <w:tc>
          <w:tcPr>
            <w:tcW w:type="dxa" w:w="3960"/>
            <w:vAlign w:val="center"/>
            <w:tcMar>
              <w:top w:w="80" w:type="dxa"/>
              <w:start w:w="120" w:type="dxa"/>
              <w:bottom w:w="80" w:type="dxa"/>
              <w:end w:w="120" w:type="dxa"/>
            </w:tcMar>
            <w:shd w:fill="F2F4F7"/>
          </w:tcPr>
          <w:p>
            <w:pPr>
              <w:spacing w:after="0"/>
            </w:pPr>
            <w:r>
              <w:rPr>
                <w:rFonts w:ascii="Calibri" w:hAnsi="Calibri"/>
                <w:b/>
                <w:color w:val="0B2545"/>
                <w:sz w:val="18"/>
              </w:rPr>
              <w:t>Purpose</w:t>
            </w:r>
          </w:p>
        </w:tc>
      </w:tr>
      <w:tr>
        <w:trPr>
          <w:cantSplit w:val="true"/>
        </w:trPr>
        <w:tc>
          <w:tcPr>
            <w:tcW w:type="dxa" w:w="1850"/>
            <w:tcMar>
              <w:top w:w="80" w:type="dxa"/>
              <w:start w:w="120" w:type="dxa"/>
              <w:bottom w:w="80" w:type="dxa"/>
              <w:end w:w="120" w:type="dxa"/>
            </w:tcMar>
          </w:tcPr>
          <w:p>
            <w:pPr>
              <w:spacing w:after="0"/>
            </w:pPr>
            <w:r>
              <w:rPr>
                <w:rFonts w:ascii="Calibri" w:hAnsi="Calibri"/>
                <w:color w:val="000000"/>
                <w:sz w:val="18"/>
              </w:rPr>
              <w:t>Core language</w:t>
            </w:r>
          </w:p>
        </w:tc>
        <w:tc>
          <w:tcPr>
            <w:tcW w:type="dxa" w:w="3550"/>
            <w:tcMar>
              <w:top w:w="80" w:type="dxa"/>
              <w:start w:w="120" w:type="dxa"/>
              <w:bottom w:w="80" w:type="dxa"/>
              <w:end w:w="120" w:type="dxa"/>
            </w:tcMar>
          </w:tcPr>
          <w:p>
            <w:pPr>
              <w:spacing w:after="0"/>
            </w:pPr>
            <w:r>
              <w:rPr>
                <w:rFonts w:ascii="Calibri" w:hAnsi="Calibri"/>
                <w:color w:val="000000"/>
                <w:sz w:val="18"/>
              </w:rPr>
              <w:t>Python 3.11+ initially; C++/Rust optional later</w:t>
            </w:r>
          </w:p>
        </w:tc>
        <w:tc>
          <w:tcPr>
            <w:tcW w:type="dxa" w:w="3960"/>
            <w:tcMar>
              <w:top w:w="80" w:type="dxa"/>
              <w:start w:w="120" w:type="dxa"/>
              <w:bottom w:w="80" w:type="dxa"/>
              <w:end w:w="120" w:type="dxa"/>
            </w:tcMar>
          </w:tcPr>
          <w:p>
            <w:pPr>
              <w:spacing w:after="0"/>
            </w:pPr>
            <w:r>
              <w:rPr>
                <w:rFonts w:ascii="Calibri" w:hAnsi="Calibri"/>
                <w:color w:val="000000"/>
                <w:sz w:val="18"/>
              </w:rPr>
              <w:t>Fast iteration, scientific ecosystem, automation, integration</w:t>
            </w:r>
          </w:p>
        </w:tc>
      </w:tr>
      <w:tr>
        <w:trPr>
          <w:cantSplit w:val="true"/>
        </w:trPr>
        <w:tc>
          <w:tcPr>
            <w:tcW w:type="dxa" w:w="1850"/>
            <w:tcMar>
              <w:top w:w="80" w:type="dxa"/>
              <w:start w:w="120" w:type="dxa"/>
              <w:bottom w:w="80" w:type="dxa"/>
              <w:end w:w="120" w:type="dxa"/>
            </w:tcMar>
          </w:tcPr>
          <w:p>
            <w:pPr>
              <w:spacing w:after="0"/>
            </w:pPr>
            <w:r>
              <w:rPr>
                <w:rFonts w:ascii="Calibri" w:hAnsi="Calibri"/>
                <w:color w:val="000000"/>
                <w:sz w:val="18"/>
              </w:rPr>
              <w:t>Data models</w:t>
            </w:r>
          </w:p>
        </w:tc>
        <w:tc>
          <w:tcPr>
            <w:tcW w:type="dxa" w:w="3550"/>
            <w:tcMar>
              <w:top w:w="80" w:type="dxa"/>
              <w:start w:w="120" w:type="dxa"/>
              <w:bottom w:w="80" w:type="dxa"/>
              <w:end w:w="120" w:type="dxa"/>
            </w:tcMar>
          </w:tcPr>
          <w:p>
            <w:pPr>
              <w:spacing w:after="0"/>
            </w:pPr>
            <w:r>
              <w:rPr>
                <w:rFonts w:ascii="Calibri" w:hAnsi="Calibri"/>
                <w:color w:val="000000"/>
                <w:sz w:val="18"/>
              </w:rPr>
              <w:t>Pydantic or dataclasses with strict validators</w:t>
            </w:r>
          </w:p>
        </w:tc>
        <w:tc>
          <w:tcPr>
            <w:tcW w:type="dxa" w:w="3960"/>
            <w:tcMar>
              <w:top w:w="80" w:type="dxa"/>
              <w:start w:w="120" w:type="dxa"/>
              <w:bottom w:w="80" w:type="dxa"/>
              <w:end w:w="120" w:type="dxa"/>
            </w:tcMar>
          </w:tcPr>
          <w:p>
            <w:pPr>
              <w:spacing w:after="0"/>
            </w:pPr>
            <w:r>
              <w:rPr>
                <w:rFonts w:ascii="Calibri" w:hAnsi="Calibri"/>
                <w:color w:val="000000"/>
                <w:sz w:val="18"/>
              </w:rPr>
              <w:t>Schema validation, serialization, traceability</w:t>
            </w:r>
          </w:p>
        </w:tc>
      </w:tr>
      <w:tr>
        <w:trPr>
          <w:cantSplit w:val="true"/>
        </w:trPr>
        <w:tc>
          <w:tcPr>
            <w:tcW w:type="dxa" w:w="1850"/>
            <w:tcMar>
              <w:top w:w="80" w:type="dxa"/>
              <w:start w:w="120" w:type="dxa"/>
              <w:bottom w:w="80" w:type="dxa"/>
              <w:end w:w="120" w:type="dxa"/>
            </w:tcMar>
          </w:tcPr>
          <w:p>
            <w:pPr>
              <w:spacing w:after="0"/>
            </w:pPr>
            <w:r>
              <w:rPr>
                <w:rFonts w:ascii="Calibri" w:hAnsi="Calibri"/>
                <w:color w:val="000000"/>
                <w:sz w:val="18"/>
              </w:rPr>
              <w:t>Numerics</w:t>
            </w:r>
          </w:p>
        </w:tc>
        <w:tc>
          <w:tcPr>
            <w:tcW w:type="dxa" w:w="3550"/>
            <w:tcMar>
              <w:top w:w="80" w:type="dxa"/>
              <w:start w:w="120" w:type="dxa"/>
              <w:bottom w:w="80" w:type="dxa"/>
              <w:end w:w="120" w:type="dxa"/>
            </w:tcMar>
          </w:tcPr>
          <w:p>
            <w:pPr>
              <w:spacing w:after="0"/>
            </w:pPr>
            <w:r>
              <w:rPr>
                <w:rFonts w:ascii="Calibri" w:hAnsi="Calibri"/>
                <w:color w:val="000000"/>
                <w:sz w:val="18"/>
              </w:rPr>
              <w:t>NumPy, SciPy, SymPy, Pint</w:t>
            </w:r>
          </w:p>
        </w:tc>
        <w:tc>
          <w:tcPr>
            <w:tcW w:type="dxa" w:w="3960"/>
            <w:tcMar>
              <w:top w:w="80" w:type="dxa"/>
              <w:start w:w="120" w:type="dxa"/>
              <w:bottom w:w="80" w:type="dxa"/>
              <w:end w:w="120" w:type="dxa"/>
            </w:tcMar>
          </w:tcPr>
          <w:p>
            <w:pPr>
              <w:spacing w:after="0"/>
            </w:pPr>
            <w:r>
              <w:rPr>
                <w:rFonts w:ascii="Calibri" w:hAnsi="Calibri"/>
                <w:color w:val="000000"/>
                <w:sz w:val="18"/>
              </w:rPr>
              <w:t>Solvers, optimization, symbolic checks, unit safety</w:t>
            </w:r>
          </w:p>
        </w:tc>
      </w:tr>
      <w:tr>
        <w:trPr>
          <w:cantSplit w:val="true"/>
        </w:trPr>
        <w:tc>
          <w:tcPr>
            <w:tcW w:type="dxa" w:w="1850"/>
            <w:tcMar>
              <w:top w:w="80" w:type="dxa"/>
              <w:start w:w="120" w:type="dxa"/>
              <w:bottom w:w="80" w:type="dxa"/>
              <w:end w:w="120" w:type="dxa"/>
            </w:tcMar>
          </w:tcPr>
          <w:p>
            <w:pPr>
              <w:spacing w:after="0"/>
            </w:pPr>
            <w:r>
              <w:rPr>
                <w:rFonts w:ascii="Calibri" w:hAnsi="Calibri"/>
                <w:color w:val="000000"/>
                <w:sz w:val="18"/>
              </w:rPr>
              <w:t>MDO</w:t>
            </w:r>
          </w:p>
        </w:tc>
        <w:tc>
          <w:tcPr>
            <w:tcW w:type="dxa" w:w="3550"/>
            <w:tcMar>
              <w:top w:w="80" w:type="dxa"/>
              <w:start w:w="120" w:type="dxa"/>
              <w:bottom w:w="80" w:type="dxa"/>
              <w:end w:w="120" w:type="dxa"/>
            </w:tcMar>
          </w:tcPr>
          <w:p>
            <w:pPr>
              <w:spacing w:after="0"/>
            </w:pPr>
            <w:r>
              <w:rPr>
                <w:rFonts w:ascii="Calibri" w:hAnsi="Calibri"/>
                <w:color w:val="000000"/>
                <w:sz w:val="18"/>
              </w:rPr>
              <w:t>OpenMDAO; Dakota/optiSLang adapters</w:t>
            </w:r>
          </w:p>
        </w:tc>
        <w:tc>
          <w:tcPr>
            <w:tcW w:type="dxa" w:w="3960"/>
            <w:tcMar>
              <w:top w:w="80" w:type="dxa"/>
              <w:start w:w="120" w:type="dxa"/>
              <w:bottom w:w="80" w:type="dxa"/>
              <w:end w:w="120" w:type="dxa"/>
            </w:tcMar>
          </w:tcPr>
          <w:p>
            <w:pPr>
              <w:spacing w:after="0"/>
            </w:pPr>
            <w:r>
              <w:rPr>
                <w:rFonts w:ascii="Calibri" w:hAnsi="Calibri"/>
                <w:color w:val="000000"/>
                <w:sz w:val="18"/>
              </w:rPr>
              <w:t>Multidisciplinary design optimization and uncertainty</w:t>
            </w:r>
          </w:p>
        </w:tc>
      </w:tr>
      <w:tr>
        <w:trPr>
          <w:cantSplit w:val="true"/>
        </w:trPr>
        <w:tc>
          <w:tcPr>
            <w:tcW w:type="dxa" w:w="1850"/>
            <w:tcMar>
              <w:top w:w="80" w:type="dxa"/>
              <w:start w:w="120" w:type="dxa"/>
              <w:bottom w:w="80" w:type="dxa"/>
              <w:end w:w="120" w:type="dxa"/>
            </w:tcMar>
          </w:tcPr>
          <w:p>
            <w:pPr>
              <w:spacing w:after="0"/>
            </w:pPr>
            <w:r>
              <w:rPr>
                <w:rFonts w:ascii="Calibri" w:hAnsi="Calibri"/>
                <w:color w:val="000000"/>
                <w:sz w:val="18"/>
              </w:rPr>
              <w:t>CAD</w:t>
            </w:r>
          </w:p>
        </w:tc>
        <w:tc>
          <w:tcPr>
            <w:tcW w:type="dxa" w:w="3550"/>
            <w:tcMar>
              <w:top w:w="80" w:type="dxa"/>
              <w:start w:w="120" w:type="dxa"/>
              <w:bottom w:w="80" w:type="dxa"/>
              <w:end w:w="120" w:type="dxa"/>
            </w:tcMar>
          </w:tcPr>
          <w:p>
            <w:pPr>
              <w:spacing w:after="0"/>
            </w:pPr>
            <w:r>
              <w:rPr>
                <w:rFonts w:ascii="Calibri" w:hAnsi="Calibri"/>
                <w:color w:val="000000"/>
                <w:sz w:val="18"/>
              </w:rPr>
              <w:t>CadQuery/OCP/OpenCASCADE; optional FreeCAD bridge; later C++ geometry kernels if required</w:t>
            </w:r>
          </w:p>
        </w:tc>
        <w:tc>
          <w:tcPr>
            <w:tcW w:type="dxa" w:w="3960"/>
            <w:tcMar>
              <w:top w:w="80" w:type="dxa"/>
              <w:start w:w="120" w:type="dxa"/>
              <w:bottom w:w="80" w:type="dxa"/>
              <w:end w:w="120" w:type="dxa"/>
            </w:tcMar>
          </w:tcPr>
          <w:p>
            <w:pPr>
              <w:spacing w:after="0"/>
            </w:pPr>
            <w:r>
              <w:rPr>
                <w:rFonts w:ascii="Calibri" w:hAnsi="Calibri"/>
                <w:color w:val="000000"/>
                <w:sz w:val="18"/>
              </w:rPr>
              <w:t>STEP/Parasolid-style parametric generation and solid modeling</w:t>
            </w:r>
          </w:p>
        </w:tc>
      </w:tr>
      <w:tr>
        <w:trPr>
          <w:cantSplit w:val="true"/>
        </w:trPr>
        <w:tc>
          <w:tcPr>
            <w:tcW w:type="dxa" w:w="1850"/>
            <w:tcMar>
              <w:top w:w="80" w:type="dxa"/>
              <w:start w:w="120" w:type="dxa"/>
              <w:bottom w:w="80" w:type="dxa"/>
              <w:end w:w="120" w:type="dxa"/>
            </w:tcMar>
          </w:tcPr>
          <w:p>
            <w:pPr>
              <w:spacing w:after="0"/>
            </w:pPr>
            <w:r>
              <w:rPr>
                <w:rFonts w:ascii="Calibri" w:hAnsi="Calibri"/>
                <w:color w:val="000000"/>
                <w:sz w:val="18"/>
              </w:rPr>
              <w:t>Mesh/visualization</w:t>
            </w:r>
          </w:p>
        </w:tc>
        <w:tc>
          <w:tcPr>
            <w:tcW w:type="dxa" w:w="3550"/>
            <w:tcMar>
              <w:top w:w="80" w:type="dxa"/>
              <w:start w:w="120" w:type="dxa"/>
              <w:bottom w:w="80" w:type="dxa"/>
              <w:end w:w="120" w:type="dxa"/>
            </w:tcMar>
          </w:tcPr>
          <w:p>
            <w:pPr>
              <w:spacing w:after="0"/>
            </w:pPr>
            <w:r>
              <w:rPr>
                <w:rFonts w:ascii="Calibri" w:hAnsi="Calibri"/>
                <w:color w:val="000000"/>
                <w:sz w:val="18"/>
              </w:rPr>
              <w:t>Gmsh, meshio, VTK/PyVista</w:t>
            </w:r>
          </w:p>
        </w:tc>
        <w:tc>
          <w:tcPr>
            <w:tcW w:type="dxa" w:w="3960"/>
            <w:tcMar>
              <w:top w:w="80" w:type="dxa"/>
              <w:start w:w="120" w:type="dxa"/>
              <w:bottom w:w="80" w:type="dxa"/>
              <w:end w:w="120" w:type="dxa"/>
            </w:tcMar>
          </w:tcPr>
          <w:p>
            <w:pPr>
              <w:spacing w:after="0"/>
            </w:pPr>
            <w:r>
              <w:rPr>
                <w:rFonts w:ascii="Calibri" w:hAnsi="Calibri"/>
                <w:color w:val="000000"/>
                <w:sz w:val="18"/>
              </w:rPr>
              <w:t>Mesh generation, conversion, result visualization</w:t>
            </w:r>
          </w:p>
        </w:tc>
      </w:tr>
      <w:tr>
        <w:trPr>
          <w:cantSplit w:val="true"/>
        </w:trPr>
        <w:tc>
          <w:tcPr>
            <w:tcW w:type="dxa" w:w="1850"/>
            <w:tcMar>
              <w:top w:w="80" w:type="dxa"/>
              <w:start w:w="120" w:type="dxa"/>
              <w:bottom w:w="80" w:type="dxa"/>
              <w:end w:w="120" w:type="dxa"/>
            </w:tcMar>
          </w:tcPr>
          <w:p>
            <w:pPr>
              <w:spacing w:after="0"/>
            </w:pPr>
            <w:r>
              <w:rPr>
                <w:rFonts w:ascii="Calibri" w:hAnsi="Calibri"/>
                <w:color w:val="000000"/>
                <w:sz w:val="18"/>
              </w:rPr>
              <w:t>RAG</w:t>
            </w:r>
          </w:p>
        </w:tc>
        <w:tc>
          <w:tcPr>
            <w:tcW w:type="dxa" w:w="3550"/>
            <w:tcMar>
              <w:top w:w="80" w:type="dxa"/>
              <w:start w:w="120" w:type="dxa"/>
              <w:bottom w:w="80" w:type="dxa"/>
              <w:end w:w="120" w:type="dxa"/>
            </w:tcMar>
          </w:tcPr>
          <w:p>
            <w:pPr>
              <w:spacing w:after="0"/>
            </w:pPr>
            <w:r>
              <w:rPr>
                <w:rFonts w:ascii="Calibri" w:hAnsi="Calibri"/>
                <w:color w:val="000000"/>
                <w:sz w:val="18"/>
              </w:rPr>
              <w:t>Vector database plus keyword index plus knowledge graph</w:t>
            </w:r>
          </w:p>
        </w:tc>
        <w:tc>
          <w:tcPr>
            <w:tcW w:type="dxa" w:w="3960"/>
            <w:tcMar>
              <w:top w:w="80" w:type="dxa"/>
              <w:start w:w="120" w:type="dxa"/>
              <w:bottom w:w="80" w:type="dxa"/>
              <w:end w:w="120" w:type="dxa"/>
            </w:tcMar>
          </w:tcPr>
          <w:p>
            <w:pPr>
              <w:spacing w:after="0"/>
            </w:pPr>
            <w:r>
              <w:rPr>
                <w:rFonts w:ascii="Calibri" w:hAnsi="Calibri"/>
                <w:color w:val="000000"/>
                <w:sz w:val="18"/>
              </w:rPr>
              <w:t>Evidence retrieval with citations and relationships</w:t>
            </w:r>
          </w:p>
        </w:tc>
      </w:tr>
      <w:tr>
        <w:trPr>
          <w:cantSplit w:val="true"/>
        </w:trPr>
        <w:tc>
          <w:tcPr>
            <w:tcW w:type="dxa" w:w="1850"/>
            <w:tcMar>
              <w:top w:w="80" w:type="dxa"/>
              <w:start w:w="120" w:type="dxa"/>
              <w:bottom w:w="80" w:type="dxa"/>
              <w:end w:w="120" w:type="dxa"/>
            </w:tcMar>
          </w:tcPr>
          <w:p>
            <w:pPr>
              <w:spacing w:after="0"/>
            </w:pPr>
            <w:r>
              <w:rPr>
                <w:rFonts w:ascii="Calibri" w:hAnsi="Calibri"/>
                <w:color w:val="000000"/>
                <w:sz w:val="18"/>
              </w:rPr>
              <w:t>Storage</w:t>
            </w:r>
          </w:p>
        </w:tc>
        <w:tc>
          <w:tcPr>
            <w:tcW w:type="dxa" w:w="3550"/>
            <w:tcMar>
              <w:top w:w="80" w:type="dxa"/>
              <w:start w:w="120" w:type="dxa"/>
              <w:bottom w:w="80" w:type="dxa"/>
              <w:end w:w="120" w:type="dxa"/>
            </w:tcMar>
          </w:tcPr>
          <w:p>
            <w:pPr>
              <w:spacing w:after="0"/>
            </w:pPr>
            <w:r>
              <w:rPr>
                <w:rFonts w:ascii="Calibri" w:hAnsi="Calibri"/>
                <w:color w:val="000000"/>
                <w:sz w:val="18"/>
              </w:rPr>
              <w:t>SQLite/DuckDB for local, PostgreSQL for team/enterprise, HDF5/Zarr for large results</w:t>
            </w:r>
          </w:p>
        </w:tc>
        <w:tc>
          <w:tcPr>
            <w:tcW w:type="dxa" w:w="3960"/>
            <w:tcMar>
              <w:top w:w="80" w:type="dxa"/>
              <w:start w:w="120" w:type="dxa"/>
              <w:bottom w:w="80" w:type="dxa"/>
              <w:end w:w="120" w:type="dxa"/>
            </w:tcMar>
          </w:tcPr>
          <w:p>
            <w:pPr>
              <w:spacing w:after="0"/>
            </w:pPr>
            <w:r>
              <w:rPr>
                <w:rFonts w:ascii="Calibri" w:hAnsi="Calibri"/>
                <w:color w:val="000000"/>
                <w:sz w:val="18"/>
              </w:rPr>
              <w:t>Project data, result arrays, audit trails</w:t>
            </w:r>
          </w:p>
        </w:tc>
      </w:tr>
      <w:tr>
        <w:trPr>
          <w:cantSplit w:val="true"/>
        </w:trPr>
        <w:tc>
          <w:tcPr>
            <w:tcW w:type="dxa" w:w="1850"/>
            <w:tcMar>
              <w:top w:w="80" w:type="dxa"/>
              <w:start w:w="120" w:type="dxa"/>
              <w:bottom w:w="80" w:type="dxa"/>
              <w:end w:w="120" w:type="dxa"/>
            </w:tcMar>
          </w:tcPr>
          <w:p>
            <w:pPr>
              <w:spacing w:after="0"/>
            </w:pPr>
            <w:r>
              <w:rPr>
                <w:rFonts w:ascii="Calibri" w:hAnsi="Calibri"/>
                <w:color w:val="000000"/>
                <w:sz w:val="18"/>
              </w:rPr>
              <w:t>Desktop UI</w:t>
            </w:r>
          </w:p>
        </w:tc>
        <w:tc>
          <w:tcPr>
            <w:tcW w:type="dxa" w:w="3550"/>
            <w:tcMar>
              <w:top w:w="80" w:type="dxa"/>
              <w:start w:w="120" w:type="dxa"/>
              <w:bottom w:w="80" w:type="dxa"/>
              <w:end w:w="120" w:type="dxa"/>
            </w:tcMar>
          </w:tcPr>
          <w:p>
            <w:pPr>
              <w:spacing w:after="0"/>
            </w:pPr>
            <w:r>
              <w:rPr>
                <w:rFonts w:ascii="Calibri" w:hAnsi="Calibri"/>
                <w:color w:val="000000"/>
                <w:sz w:val="18"/>
              </w:rPr>
              <w:t>PySide6/Qt with VTK/Qt 3D views; optional local web UI for advanced dashboards</w:t>
            </w:r>
          </w:p>
        </w:tc>
        <w:tc>
          <w:tcPr>
            <w:tcW w:type="dxa" w:w="3960"/>
            <w:tcMar>
              <w:top w:w="80" w:type="dxa"/>
              <w:start w:w="120" w:type="dxa"/>
              <w:bottom w:w="80" w:type="dxa"/>
              <w:end w:w="120" w:type="dxa"/>
            </w:tcMar>
          </w:tcPr>
          <w:p>
            <w:pPr>
              <w:spacing w:after="0"/>
            </w:pPr>
            <w:r>
              <w:rPr>
                <w:rFonts w:ascii="Calibri" w:hAnsi="Calibri"/>
                <w:color w:val="000000"/>
                <w:sz w:val="18"/>
              </w:rPr>
              <w:t>Professional engineering workbench</w:t>
            </w:r>
          </w:p>
        </w:tc>
      </w:tr>
      <w:tr>
        <w:trPr>
          <w:cantSplit w:val="true"/>
        </w:trPr>
        <w:tc>
          <w:tcPr>
            <w:tcW w:type="dxa" w:w="1850"/>
            <w:tcMar>
              <w:top w:w="80" w:type="dxa"/>
              <w:start w:w="120" w:type="dxa"/>
              <w:bottom w:w="80" w:type="dxa"/>
              <w:end w:w="120" w:type="dxa"/>
            </w:tcMar>
          </w:tcPr>
          <w:p>
            <w:pPr>
              <w:spacing w:after="0"/>
            </w:pPr>
            <w:r>
              <w:rPr>
                <w:rFonts w:ascii="Calibri" w:hAnsi="Calibri"/>
                <w:color w:val="000000"/>
                <w:sz w:val="18"/>
              </w:rPr>
              <w:t>Internal API</w:t>
            </w:r>
          </w:p>
        </w:tc>
        <w:tc>
          <w:tcPr>
            <w:tcW w:type="dxa" w:w="3550"/>
            <w:tcMar>
              <w:top w:w="80" w:type="dxa"/>
              <w:start w:w="120" w:type="dxa"/>
              <w:bottom w:w="80" w:type="dxa"/>
              <w:end w:w="120" w:type="dxa"/>
            </w:tcMar>
          </w:tcPr>
          <w:p>
            <w:pPr>
              <w:spacing w:after="0"/>
            </w:pPr>
            <w:r>
              <w:rPr>
                <w:rFonts w:ascii="Calibri" w:hAnsi="Calibri"/>
                <w:color w:val="000000"/>
                <w:sz w:val="18"/>
              </w:rPr>
              <w:t>FastAPI or typed service layer</w:t>
            </w:r>
          </w:p>
        </w:tc>
        <w:tc>
          <w:tcPr>
            <w:tcW w:type="dxa" w:w="3960"/>
            <w:tcMar>
              <w:top w:w="80" w:type="dxa"/>
              <w:start w:w="120" w:type="dxa"/>
              <w:bottom w:w="80" w:type="dxa"/>
              <w:end w:w="120" w:type="dxa"/>
            </w:tcMar>
          </w:tcPr>
          <w:p>
            <w:pPr>
              <w:spacing w:after="0"/>
            </w:pPr>
            <w:r>
              <w:rPr>
                <w:rFonts w:ascii="Calibri" w:hAnsi="Calibri"/>
                <w:color w:val="000000"/>
                <w:sz w:val="18"/>
              </w:rPr>
              <w:t>Decoupled UI/backend and future cloud/automation support</w:t>
            </w:r>
          </w:p>
        </w:tc>
      </w:tr>
    </w:tbl>
    <w:p>
      <w:pPr>
        <w:spacing w:before="0" w:after="40" w:line="240" w:lineRule="auto"/>
      </w:pPr>
      <w:r>
        <w:rPr>
          <w:rFonts w:ascii="Calibri" w:hAnsi="Calibri"/>
          <w:sz w:val="2"/>
        </w:rPr>
        <w:t xml:space="preserve"> </w:t>
      </w:r>
    </w:p>
    <w:p>
      <w:pPr>
        <w:pStyle w:val="Heading1"/>
      </w:pPr>
      <w:r>
        <w:t>5. Knowledge Foundation and RAG Architecture</w:t>
      </w:r>
    </w:p>
    <w:p>
      <w:r>
        <w:t>The knowledge folder is the source of the AI/RAG system. Its mission is to extract, normalize, govern, retrieve, and explain the mathematics, physics, chemistry, materials science, manufacturing knowledge, and engineering methods required to design and validate rocket engines. It must behave as a controlled technical-data system, not as a free-form chatbot memory.</w:t>
      </w:r>
    </w:p>
    <w:tbl>
      <w:tblPr>
        <w:tblStyle w:val="TableGrid"/>
        <w:tblW w:type="dxa" w:w="9360"/>
        <w:jc w:val="left"/>
        <w:tblLook w:firstColumn="1" w:firstRow="1" w:lastColumn="0" w:lastRow="0" w:noHBand="0" w:noVBand="1" w:val="04A0"/>
        <w:tblInd w:w="120" w:type="dxa"/>
        <w:tblLayout w:type="fixed"/>
      </w:tblPr>
      <w:tblGrid>
        <w:gridCol w:w="1550"/>
        <w:gridCol w:w="4500"/>
        <w:gridCol w:w="3310"/>
      </w:tblGrid>
      <w:tr>
        <w:trPr>
          <w:tblHeader w:val="true"/>
          <w:cantSplit w:val="true"/>
        </w:trPr>
        <w:tc>
          <w:tcPr>
            <w:tcW w:type="dxa" w:w="1550"/>
            <w:vAlign w:val="center"/>
            <w:tcMar>
              <w:top w:w="80" w:type="dxa"/>
              <w:start w:w="120" w:type="dxa"/>
              <w:bottom w:w="80" w:type="dxa"/>
              <w:end w:w="120" w:type="dxa"/>
            </w:tcMar>
            <w:shd w:fill="F2F4F7"/>
          </w:tcPr>
          <w:p>
            <w:pPr>
              <w:spacing w:after="0"/>
            </w:pPr>
            <w:r>
              <w:rPr>
                <w:rFonts w:ascii="Calibri" w:hAnsi="Calibri"/>
                <w:b/>
                <w:color w:val="0B2545"/>
                <w:sz w:val="17"/>
              </w:rPr>
              <w:t>Knowledge Entity</w:t>
            </w:r>
          </w:p>
        </w:tc>
        <w:tc>
          <w:tcPr>
            <w:tcW w:type="dxa" w:w="4500"/>
            <w:vAlign w:val="center"/>
            <w:tcMar>
              <w:top w:w="80" w:type="dxa"/>
              <w:start w:w="120" w:type="dxa"/>
              <w:bottom w:w="80" w:type="dxa"/>
              <w:end w:w="120" w:type="dxa"/>
            </w:tcMar>
            <w:shd w:fill="F2F4F7"/>
          </w:tcPr>
          <w:p>
            <w:pPr>
              <w:spacing w:after="0"/>
            </w:pPr>
            <w:r>
              <w:rPr>
                <w:rFonts w:ascii="Calibri" w:hAnsi="Calibri"/>
                <w:b/>
                <w:color w:val="0B2545"/>
                <w:sz w:val="17"/>
              </w:rPr>
              <w:t>Required Fields</w:t>
            </w:r>
          </w:p>
        </w:tc>
        <w:tc>
          <w:tcPr>
            <w:tcW w:type="dxa" w:w="3310"/>
            <w:vAlign w:val="center"/>
            <w:tcMar>
              <w:top w:w="80" w:type="dxa"/>
              <w:start w:w="120" w:type="dxa"/>
              <w:bottom w:w="80" w:type="dxa"/>
              <w:end w:w="120" w:type="dxa"/>
            </w:tcMar>
            <w:shd w:fill="F2F4F7"/>
          </w:tcPr>
          <w:p>
            <w:pPr>
              <w:spacing w:after="0"/>
            </w:pPr>
            <w:r>
              <w:rPr>
                <w:rFonts w:ascii="Calibri" w:hAnsi="Calibri"/>
                <w:b/>
                <w:color w:val="0B2545"/>
                <w:sz w:val="17"/>
              </w:rPr>
              <w:t>Engineering Role</w:t>
            </w:r>
          </w:p>
        </w:tc>
      </w:tr>
      <w:tr>
        <w:trPr>
          <w:cantSplit w:val="true"/>
        </w:trPr>
        <w:tc>
          <w:tcPr>
            <w:tcW w:type="dxa" w:w="1550"/>
            <w:tcMar>
              <w:top w:w="80" w:type="dxa"/>
              <w:start w:w="120" w:type="dxa"/>
              <w:bottom w:w="80" w:type="dxa"/>
              <w:end w:w="120" w:type="dxa"/>
            </w:tcMar>
          </w:tcPr>
          <w:p>
            <w:pPr>
              <w:spacing w:after="0"/>
            </w:pPr>
            <w:r>
              <w:rPr>
                <w:rFonts w:ascii="Calibri" w:hAnsi="Calibri"/>
                <w:color w:val="000000"/>
                <w:sz w:val="17"/>
              </w:rPr>
              <w:t>Reference</w:t>
            </w:r>
          </w:p>
        </w:tc>
        <w:tc>
          <w:tcPr>
            <w:tcW w:type="dxa" w:w="4500"/>
            <w:tcMar>
              <w:top w:w="80" w:type="dxa"/>
              <w:start w:w="120" w:type="dxa"/>
              <w:bottom w:w="80" w:type="dxa"/>
              <w:end w:w="120" w:type="dxa"/>
            </w:tcMar>
          </w:tcPr>
          <w:p>
            <w:pPr>
              <w:spacing w:after="0"/>
            </w:pPr>
            <w:r>
              <w:rPr>
                <w:rFonts w:ascii="Calibri" w:hAnsi="Calibri"/>
                <w:color w:val="000000"/>
                <w:sz w:val="17"/>
              </w:rPr>
              <w:t>Source ID, authors, title, publisher, year, DOI/URL/ISBN, status, license, confidence</w:t>
            </w:r>
          </w:p>
        </w:tc>
        <w:tc>
          <w:tcPr>
            <w:tcW w:type="dxa" w:w="3310"/>
            <w:tcMar>
              <w:top w:w="80" w:type="dxa"/>
              <w:start w:w="120" w:type="dxa"/>
              <w:bottom w:w="80" w:type="dxa"/>
              <w:end w:w="120" w:type="dxa"/>
            </w:tcMar>
          </w:tcPr>
          <w:p>
            <w:pPr>
              <w:spacing w:after="0"/>
            </w:pPr>
            <w:r>
              <w:rPr>
                <w:rFonts w:ascii="Calibri" w:hAnsi="Calibri"/>
                <w:color w:val="000000"/>
                <w:sz w:val="17"/>
              </w:rPr>
              <w:t>Establishes authority and permitted use</w:t>
            </w:r>
          </w:p>
        </w:tc>
      </w:tr>
      <w:tr>
        <w:trPr>
          <w:cantSplit w:val="true"/>
        </w:trPr>
        <w:tc>
          <w:tcPr>
            <w:tcW w:type="dxa" w:w="1550"/>
            <w:tcMar>
              <w:top w:w="80" w:type="dxa"/>
              <w:start w:w="120" w:type="dxa"/>
              <w:bottom w:w="80" w:type="dxa"/>
              <w:end w:w="120" w:type="dxa"/>
            </w:tcMar>
          </w:tcPr>
          <w:p>
            <w:pPr>
              <w:spacing w:after="0"/>
            </w:pPr>
            <w:r>
              <w:rPr>
                <w:rFonts w:ascii="Calibri" w:hAnsi="Calibri"/>
                <w:color w:val="000000"/>
                <w:sz w:val="17"/>
              </w:rPr>
              <w:t>Document</w:t>
            </w:r>
          </w:p>
        </w:tc>
        <w:tc>
          <w:tcPr>
            <w:tcW w:type="dxa" w:w="4500"/>
            <w:tcMar>
              <w:top w:w="80" w:type="dxa"/>
              <w:start w:w="120" w:type="dxa"/>
              <w:bottom w:w="80" w:type="dxa"/>
              <w:end w:w="120" w:type="dxa"/>
            </w:tcMar>
          </w:tcPr>
          <w:p>
            <w:pPr>
              <w:spacing w:after="0"/>
            </w:pPr>
            <w:r>
              <w:rPr>
                <w:rFonts w:ascii="Calibri" w:hAnsi="Calibri"/>
                <w:color w:val="000000"/>
                <w:sz w:val="17"/>
              </w:rPr>
              <w:t>Document ID, source reference, content hash, version, section map, security level, import pipeline</w:t>
            </w:r>
          </w:p>
        </w:tc>
        <w:tc>
          <w:tcPr>
            <w:tcW w:type="dxa" w:w="3310"/>
            <w:tcMar>
              <w:top w:w="80" w:type="dxa"/>
              <w:start w:w="120" w:type="dxa"/>
              <w:bottom w:w="80" w:type="dxa"/>
              <w:end w:w="120" w:type="dxa"/>
            </w:tcMar>
          </w:tcPr>
          <w:p>
            <w:pPr>
              <w:spacing w:after="0"/>
            </w:pPr>
            <w:r>
              <w:rPr>
                <w:rFonts w:ascii="Calibri" w:hAnsi="Calibri"/>
                <w:color w:val="000000"/>
                <w:sz w:val="17"/>
              </w:rPr>
              <w:t>Machine-readable source text</w:t>
            </w:r>
          </w:p>
        </w:tc>
      </w:tr>
      <w:tr>
        <w:trPr>
          <w:cantSplit w:val="true"/>
        </w:trPr>
        <w:tc>
          <w:tcPr>
            <w:tcW w:type="dxa" w:w="1550"/>
            <w:tcMar>
              <w:top w:w="80" w:type="dxa"/>
              <w:start w:w="120" w:type="dxa"/>
              <w:bottom w:w="80" w:type="dxa"/>
              <w:end w:w="120" w:type="dxa"/>
            </w:tcMar>
          </w:tcPr>
          <w:p>
            <w:pPr>
              <w:spacing w:after="0"/>
            </w:pPr>
            <w:r>
              <w:rPr>
                <w:rFonts w:ascii="Calibri" w:hAnsi="Calibri"/>
                <w:color w:val="000000"/>
                <w:sz w:val="17"/>
              </w:rPr>
              <w:t>Equation</w:t>
            </w:r>
          </w:p>
        </w:tc>
        <w:tc>
          <w:tcPr>
            <w:tcW w:type="dxa" w:w="4500"/>
            <w:tcMar>
              <w:top w:w="80" w:type="dxa"/>
              <w:start w:w="120" w:type="dxa"/>
              <w:bottom w:w="80" w:type="dxa"/>
              <w:end w:w="120" w:type="dxa"/>
            </w:tcMar>
          </w:tcPr>
          <w:p>
            <w:pPr>
              <w:spacing w:after="0"/>
            </w:pPr>
            <w:r>
              <w:rPr>
                <w:rFonts w:ascii="Calibri" w:hAnsi="Calibri"/>
                <w:color w:val="000000"/>
                <w:sz w:val="17"/>
              </w:rPr>
              <w:t>Expression, variables, units, dimensions, assumptions, validity range, source page/section, verification tests</w:t>
            </w:r>
          </w:p>
        </w:tc>
        <w:tc>
          <w:tcPr>
            <w:tcW w:type="dxa" w:w="3310"/>
            <w:tcMar>
              <w:top w:w="80" w:type="dxa"/>
              <w:start w:w="120" w:type="dxa"/>
              <w:bottom w:w="80" w:type="dxa"/>
              <w:end w:w="120" w:type="dxa"/>
            </w:tcMar>
          </w:tcPr>
          <w:p>
            <w:pPr>
              <w:spacing w:after="0"/>
            </w:pPr>
            <w:r>
              <w:rPr>
                <w:rFonts w:ascii="Calibri" w:hAnsi="Calibri"/>
                <w:color w:val="000000"/>
                <w:sz w:val="17"/>
              </w:rPr>
              <w:t>Reusable solver knowledge</w:t>
            </w:r>
          </w:p>
        </w:tc>
      </w:tr>
      <w:tr>
        <w:trPr>
          <w:cantSplit w:val="true"/>
        </w:trPr>
        <w:tc>
          <w:tcPr>
            <w:tcW w:type="dxa" w:w="1550"/>
            <w:tcMar>
              <w:top w:w="80" w:type="dxa"/>
              <w:start w:w="120" w:type="dxa"/>
              <w:bottom w:w="80" w:type="dxa"/>
              <w:end w:w="120" w:type="dxa"/>
            </w:tcMar>
          </w:tcPr>
          <w:p>
            <w:pPr>
              <w:spacing w:after="0"/>
            </w:pPr>
            <w:r>
              <w:rPr>
                <w:rFonts w:ascii="Calibri" w:hAnsi="Calibri"/>
                <w:color w:val="000000"/>
                <w:sz w:val="17"/>
              </w:rPr>
              <w:t>Variable</w:t>
            </w:r>
          </w:p>
        </w:tc>
        <w:tc>
          <w:tcPr>
            <w:tcW w:type="dxa" w:w="4500"/>
            <w:tcMar>
              <w:top w:w="80" w:type="dxa"/>
              <w:start w:w="120" w:type="dxa"/>
              <w:bottom w:w="80" w:type="dxa"/>
              <w:end w:w="120" w:type="dxa"/>
            </w:tcMar>
          </w:tcPr>
          <w:p>
            <w:pPr>
              <w:spacing w:after="0"/>
            </w:pPr>
            <w:r>
              <w:rPr>
                <w:rFonts w:ascii="Calibri" w:hAnsi="Calibri"/>
                <w:color w:val="000000"/>
                <w:sz w:val="17"/>
              </w:rPr>
              <w:t>Symbol, name, unit, dimension, bounds, role, finite/zero/negative policy, source</w:t>
            </w:r>
          </w:p>
        </w:tc>
        <w:tc>
          <w:tcPr>
            <w:tcW w:type="dxa" w:w="3310"/>
            <w:tcMar>
              <w:top w:w="80" w:type="dxa"/>
              <w:start w:w="120" w:type="dxa"/>
              <w:bottom w:w="80" w:type="dxa"/>
              <w:end w:w="120" w:type="dxa"/>
            </w:tcMar>
          </w:tcPr>
          <w:p>
            <w:pPr>
              <w:spacing w:after="0"/>
            </w:pPr>
            <w:r>
              <w:rPr>
                <w:rFonts w:ascii="Calibri" w:hAnsi="Calibri"/>
                <w:color w:val="000000"/>
                <w:sz w:val="17"/>
              </w:rPr>
              <w:t>Typed engineering quantity</w:t>
            </w:r>
          </w:p>
        </w:tc>
      </w:tr>
      <w:tr>
        <w:trPr>
          <w:cantSplit w:val="true"/>
        </w:trPr>
        <w:tc>
          <w:tcPr>
            <w:tcW w:type="dxa" w:w="1550"/>
            <w:tcMar>
              <w:top w:w="80" w:type="dxa"/>
              <w:start w:w="120" w:type="dxa"/>
              <w:bottom w:w="80" w:type="dxa"/>
              <w:end w:w="120" w:type="dxa"/>
            </w:tcMar>
          </w:tcPr>
          <w:p>
            <w:pPr>
              <w:spacing w:after="0"/>
            </w:pPr>
            <w:r>
              <w:rPr>
                <w:rFonts w:ascii="Calibri" w:hAnsi="Calibri"/>
                <w:color w:val="000000"/>
                <w:sz w:val="17"/>
              </w:rPr>
              <w:t>Unit</w:t>
            </w:r>
          </w:p>
        </w:tc>
        <w:tc>
          <w:tcPr>
            <w:tcW w:type="dxa" w:w="4500"/>
            <w:tcMar>
              <w:top w:w="80" w:type="dxa"/>
              <w:start w:w="120" w:type="dxa"/>
              <w:bottom w:w="80" w:type="dxa"/>
              <w:end w:w="120" w:type="dxa"/>
            </w:tcMar>
          </w:tcPr>
          <w:p>
            <w:pPr>
              <w:spacing w:after="0"/>
            </w:pPr>
            <w:r>
              <w:rPr>
                <w:rFonts w:ascii="Calibri" w:hAnsi="Calibri"/>
                <w:color w:val="000000"/>
                <w:sz w:val="17"/>
              </w:rPr>
              <w:t>Unit ID, symbol, dimension vector, conversion, offset, source, status</w:t>
            </w:r>
          </w:p>
        </w:tc>
        <w:tc>
          <w:tcPr>
            <w:tcW w:type="dxa" w:w="3310"/>
            <w:tcMar>
              <w:top w:w="80" w:type="dxa"/>
              <w:start w:w="120" w:type="dxa"/>
              <w:bottom w:w="80" w:type="dxa"/>
              <w:end w:w="120" w:type="dxa"/>
            </w:tcMar>
          </w:tcPr>
          <w:p>
            <w:pPr>
              <w:spacing w:after="0"/>
            </w:pPr>
            <w:r>
              <w:rPr>
                <w:rFonts w:ascii="Calibri" w:hAnsi="Calibri"/>
                <w:color w:val="000000"/>
                <w:sz w:val="17"/>
              </w:rPr>
              <w:t>Prevents unit drift</w:t>
            </w:r>
          </w:p>
        </w:tc>
      </w:tr>
      <w:tr>
        <w:trPr>
          <w:cantSplit w:val="true"/>
        </w:trPr>
        <w:tc>
          <w:tcPr>
            <w:tcW w:type="dxa" w:w="1550"/>
            <w:tcMar>
              <w:top w:w="80" w:type="dxa"/>
              <w:start w:w="120" w:type="dxa"/>
              <w:bottom w:w="80" w:type="dxa"/>
              <w:end w:w="120" w:type="dxa"/>
            </w:tcMar>
          </w:tcPr>
          <w:p>
            <w:pPr>
              <w:spacing w:after="0"/>
            </w:pPr>
            <w:r>
              <w:rPr>
                <w:rFonts w:ascii="Calibri" w:hAnsi="Calibri"/>
                <w:color w:val="000000"/>
                <w:sz w:val="17"/>
              </w:rPr>
              <w:t>Constant</w:t>
            </w:r>
          </w:p>
        </w:tc>
        <w:tc>
          <w:tcPr>
            <w:tcW w:type="dxa" w:w="4500"/>
            <w:tcMar>
              <w:top w:w="80" w:type="dxa"/>
              <w:start w:w="120" w:type="dxa"/>
              <w:bottom w:w="80" w:type="dxa"/>
              <w:end w:w="120" w:type="dxa"/>
            </w:tcMar>
          </w:tcPr>
          <w:p>
            <w:pPr>
              <w:spacing w:after="0"/>
            </w:pPr>
            <w:r>
              <w:rPr>
                <w:rFonts w:ascii="Calibri" w:hAnsi="Calibri"/>
                <w:color w:val="000000"/>
                <w:sz w:val="17"/>
              </w:rPr>
              <w:t>Value, uncertainty, CODATA/source version, exactness, units, dimensions</w:t>
            </w:r>
          </w:p>
        </w:tc>
        <w:tc>
          <w:tcPr>
            <w:tcW w:type="dxa" w:w="3310"/>
            <w:tcMar>
              <w:top w:w="80" w:type="dxa"/>
              <w:start w:w="120" w:type="dxa"/>
              <w:bottom w:w="80" w:type="dxa"/>
              <w:end w:w="120" w:type="dxa"/>
            </w:tcMar>
          </w:tcPr>
          <w:p>
            <w:pPr>
              <w:spacing w:after="0"/>
            </w:pPr>
            <w:r>
              <w:rPr>
                <w:rFonts w:ascii="Calibri" w:hAnsi="Calibri"/>
                <w:color w:val="000000"/>
                <w:sz w:val="17"/>
              </w:rPr>
              <w:t>Validated numerical constants</w:t>
            </w:r>
          </w:p>
        </w:tc>
      </w:tr>
      <w:tr>
        <w:trPr>
          <w:cantSplit w:val="true"/>
        </w:trPr>
        <w:tc>
          <w:tcPr>
            <w:tcW w:type="dxa" w:w="1550"/>
            <w:tcMar>
              <w:top w:w="80" w:type="dxa"/>
              <w:start w:w="120" w:type="dxa"/>
              <w:bottom w:w="80" w:type="dxa"/>
              <w:end w:w="120" w:type="dxa"/>
            </w:tcMar>
          </w:tcPr>
          <w:p>
            <w:pPr>
              <w:spacing w:after="0"/>
            </w:pPr>
            <w:r>
              <w:rPr>
                <w:rFonts w:ascii="Calibri" w:hAnsi="Calibri"/>
                <w:color w:val="000000"/>
                <w:sz w:val="17"/>
              </w:rPr>
              <w:t>Material</w:t>
            </w:r>
          </w:p>
        </w:tc>
        <w:tc>
          <w:tcPr>
            <w:tcW w:type="dxa" w:w="4500"/>
            <w:tcMar>
              <w:top w:w="80" w:type="dxa"/>
              <w:start w:w="120" w:type="dxa"/>
              <w:bottom w:w="80" w:type="dxa"/>
              <w:end w:w="120" w:type="dxa"/>
            </w:tcMar>
          </w:tcPr>
          <w:p>
            <w:pPr>
              <w:spacing w:after="0"/>
            </w:pPr>
            <w:r>
              <w:rPr>
                <w:rFonts w:ascii="Calibri" w:hAnsi="Calibri"/>
                <w:color w:val="000000"/>
                <w:sz w:val="17"/>
              </w:rPr>
              <w:t>Thermal, mechanical, fatigue, compatibility, AM parameters, source, allowables</w:t>
            </w:r>
          </w:p>
        </w:tc>
        <w:tc>
          <w:tcPr>
            <w:tcW w:type="dxa" w:w="3310"/>
            <w:tcMar>
              <w:top w:w="80" w:type="dxa"/>
              <w:start w:w="120" w:type="dxa"/>
              <w:bottom w:w="80" w:type="dxa"/>
              <w:end w:w="120" w:type="dxa"/>
            </w:tcMar>
          </w:tcPr>
          <w:p>
            <w:pPr>
              <w:spacing w:after="0"/>
            </w:pPr>
            <w:r>
              <w:rPr>
                <w:rFonts w:ascii="Calibri" w:hAnsi="Calibri"/>
                <w:color w:val="000000"/>
                <w:sz w:val="17"/>
              </w:rPr>
              <w:t>Design and manufacturing constraints</w:t>
            </w:r>
          </w:p>
        </w:tc>
      </w:tr>
      <w:tr>
        <w:trPr>
          <w:cantSplit w:val="true"/>
        </w:trPr>
        <w:tc>
          <w:tcPr>
            <w:tcW w:type="dxa" w:w="1550"/>
            <w:tcMar>
              <w:top w:w="80" w:type="dxa"/>
              <w:start w:w="120" w:type="dxa"/>
              <w:bottom w:w="80" w:type="dxa"/>
              <w:end w:w="120" w:type="dxa"/>
            </w:tcMar>
          </w:tcPr>
          <w:p>
            <w:pPr>
              <w:spacing w:after="0"/>
            </w:pPr>
            <w:r>
              <w:rPr>
                <w:rFonts w:ascii="Calibri" w:hAnsi="Calibri"/>
                <w:color w:val="000000"/>
                <w:sz w:val="17"/>
              </w:rPr>
              <w:t>Propellant</w:t>
            </w:r>
          </w:p>
        </w:tc>
        <w:tc>
          <w:tcPr>
            <w:tcW w:type="dxa" w:w="4500"/>
            <w:tcMar>
              <w:top w:w="80" w:type="dxa"/>
              <w:start w:w="120" w:type="dxa"/>
              <w:bottom w:w="80" w:type="dxa"/>
              <w:end w:w="120" w:type="dxa"/>
            </w:tcMar>
          </w:tcPr>
          <w:p>
            <w:pPr>
              <w:spacing w:after="0"/>
            </w:pPr>
            <w:r>
              <w:rPr>
                <w:rFonts w:ascii="Calibri" w:hAnsi="Calibri"/>
                <w:color w:val="000000"/>
                <w:sz w:val="17"/>
              </w:rPr>
              <w:t>Species mapping, composition, density, thermophysical properties, storage conditions, source</w:t>
            </w:r>
          </w:p>
        </w:tc>
        <w:tc>
          <w:tcPr>
            <w:tcW w:type="dxa" w:w="3310"/>
            <w:tcMar>
              <w:top w:w="80" w:type="dxa"/>
              <w:start w:w="120" w:type="dxa"/>
              <w:bottom w:w="80" w:type="dxa"/>
              <w:end w:w="120" w:type="dxa"/>
            </w:tcMar>
          </w:tcPr>
          <w:p>
            <w:pPr>
              <w:spacing w:after="0"/>
            </w:pPr>
            <w:r>
              <w:rPr>
                <w:rFonts w:ascii="Calibri" w:hAnsi="Calibri"/>
                <w:color w:val="000000"/>
                <w:sz w:val="17"/>
              </w:rPr>
              <w:t>Thermochemistry and feed-system inputs</w:t>
            </w:r>
          </w:p>
        </w:tc>
      </w:tr>
      <w:tr>
        <w:trPr>
          <w:cantSplit w:val="true"/>
        </w:trPr>
        <w:tc>
          <w:tcPr>
            <w:tcW w:type="dxa" w:w="1550"/>
            <w:tcMar>
              <w:top w:w="80" w:type="dxa"/>
              <w:start w:w="120" w:type="dxa"/>
              <w:bottom w:w="80" w:type="dxa"/>
              <w:end w:w="120" w:type="dxa"/>
            </w:tcMar>
          </w:tcPr>
          <w:p>
            <w:pPr>
              <w:spacing w:after="0"/>
            </w:pPr>
            <w:r>
              <w:rPr>
                <w:rFonts w:ascii="Calibri" w:hAnsi="Calibri"/>
                <w:color w:val="000000"/>
                <w:sz w:val="17"/>
              </w:rPr>
              <w:t>Subsystem</w:t>
            </w:r>
          </w:p>
        </w:tc>
        <w:tc>
          <w:tcPr>
            <w:tcW w:type="dxa" w:w="4500"/>
            <w:tcMar>
              <w:top w:w="80" w:type="dxa"/>
              <w:start w:w="120" w:type="dxa"/>
              <w:bottom w:w="80" w:type="dxa"/>
              <w:end w:w="120" w:type="dxa"/>
            </w:tcMar>
          </w:tcPr>
          <w:p>
            <w:pPr>
              <w:spacing w:after="0"/>
            </w:pPr>
            <w:r>
              <w:rPr>
                <w:rFonts w:ascii="Calibri" w:hAnsi="Calibri"/>
                <w:color w:val="000000"/>
                <w:sz w:val="17"/>
              </w:rPr>
              <w:t>Functional role, interfaces, constraints, related equations, test data</w:t>
            </w:r>
          </w:p>
        </w:tc>
        <w:tc>
          <w:tcPr>
            <w:tcW w:type="dxa" w:w="3310"/>
            <w:tcMar>
              <w:top w:w="80" w:type="dxa"/>
              <w:start w:w="120" w:type="dxa"/>
              <w:bottom w:w="80" w:type="dxa"/>
              <w:end w:w="120" w:type="dxa"/>
            </w:tcMar>
          </w:tcPr>
          <w:p>
            <w:pPr>
              <w:spacing w:after="0"/>
            </w:pPr>
            <w:r>
              <w:rPr>
                <w:rFonts w:ascii="Calibri" w:hAnsi="Calibri"/>
                <w:color w:val="000000"/>
                <w:sz w:val="17"/>
              </w:rPr>
              <w:t>Links knowledge to engine architecture</w:t>
            </w:r>
          </w:p>
        </w:tc>
      </w:tr>
      <w:tr>
        <w:trPr>
          <w:cantSplit w:val="true"/>
        </w:trPr>
        <w:tc>
          <w:tcPr>
            <w:tcW w:type="dxa" w:w="1550"/>
            <w:tcMar>
              <w:top w:w="80" w:type="dxa"/>
              <w:start w:w="120" w:type="dxa"/>
              <w:bottom w:w="80" w:type="dxa"/>
              <w:end w:w="120" w:type="dxa"/>
            </w:tcMar>
          </w:tcPr>
          <w:p>
            <w:pPr>
              <w:spacing w:after="0"/>
            </w:pPr>
            <w:r>
              <w:rPr>
                <w:rFonts w:ascii="Calibri" w:hAnsi="Calibri"/>
                <w:color w:val="000000"/>
                <w:sz w:val="17"/>
              </w:rPr>
              <w:t>Validation Dataset</w:t>
            </w:r>
          </w:p>
        </w:tc>
        <w:tc>
          <w:tcPr>
            <w:tcW w:type="dxa" w:w="4500"/>
            <w:tcMar>
              <w:top w:w="80" w:type="dxa"/>
              <w:start w:w="120" w:type="dxa"/>
              <w:bottom w:w="80" w:type="dxa"/>
              <w:end w:w="120" w:type="dxa"/>
            </w:tcMar>
          </w:tcPr>
          <w:p>
            <w:pPr>
              <w:spacing w:after="0"/>
            </w:pPr>
            <w:r>
              <w:rPr>
                <w:rFonts w:ascii="Calibri" w:hAnsi="Calibri"/>
                <w:color w:val="000000"/>
                <w:sz w:val="17"/>
              </w:rPr>
              <w:t>Experiment/test/simulation source, conditions, measured outputs, uncertainty</w:t>
            </w:r>
          </w:p>
        </w:tc>
        <w:tc>
          <w:tcPr>
            <w:tcW w:type="dxa" w:w="3310"/>
            <w:tcMar>
              <w:top w:w="80" w:type="dxa"/>
              <w:start w:w="120" w:type="dxa"/>
              <w:bottom w:w="80" w:type="dxa"/>
              <w:end w:w="120" w:type="dxa"/>
            </w:tcMar>
          </w:tcPr>
          <w:p>
            <w:pPr>
              <w:spacing w:after="0"/>
            </w:pPr>
            <w:r>
              <w:rPr>
                <w:rFonts w:ascii="Calibri" w:hAnsi="Calibri"/>
                <w:color w:val="000000"/>
                <w:sz w:val="17"/>
              </w:rPr>
              <w:t>Model verification and calibration</w:t>
            </w:r>
          </w:p>
        </w:tc>
      </w:tr>
    </w:tbl>
    <w:p>
      <w:pPr>
        <w:spacing w:before="0" w:after="40" w:line="240" w:lineRule="auto"/>
      </w:pPr>
      <w:r>
        <w:rPr>
          <w:rFonts w:ascii="Calibri" w:hAnsi="Calibri"/>
          <w:sz w:val="2"/>
        </w:rPr>
        <w:t xml:space="preserve"> </w:t>
      </w:r>
    </w:p>
    <w:p>
      <w:pPr>
        <w:pStyle w:val="Heading2"/>
      </w:pPr>
      <w:r>
        <w:t>5.1 RAG Retrieval Rules</w:t>
      </w:r>
    </w:p>
    <w:p>
      <w:pPr>
        <w:pStyle w:val="ListBullet"/>
      </w:pPr>
      <w:r>
        <w:t>RAG responses must cite approved references and document sections.</w:t>
      </w:r>
    </w:p>
    <w:p>
      <w:pPr>
        <w:pStyle w:val="ListBullet"/>
      </w:pPr>
      <w:r>
        <w:t>Equation retrieval must include validity range, variables, units, dimensional signature, assumptions, and verification status.</w:t>
      </w:r>
    </w:p>
    <w:p>
      <w:pPr>
        <w:pStyle w:val="ListBullet"/>
      </w:pPr>
      <w:r>
        <w:t>Conflicting sources must be surfaced as conflicts, not averaged silently.</w:t>
      </w:r>
    </w:p>
    <w:p>
      <w:pPr>
        <w:pStyle w:val="ListBullet"/>
      </w:pPr>
      <w:r>
        <w:t>The AI may propose candidate design logic, but production solvers must use approved equation objects and test coverage.</w:t>
      </w:r>
    </w:p>
    <w:p>
      <w:pPr>
        <w:pStyle w:val="ListBullet"/>
      </w:pPr>
      <w:r>
        <w:t>Every retrieved artifact must be access-controlled according to its license and company security level.</w:t>
      </w:r>
    </w:p>
    <w:p>
      <w:pPr>
        <w:pStyle w:val="ListBullet"/>
      </w:pPr>
      <w:r>
        <w:t>Generated summaries must never overwrite source truth; they are derived artifacts linked to source hashes.</w:t>
      </w:r>
    </w:p>
    <w:p>
      <w:pPr>
        <w:pStyle w:val="Heading2"/>
      </w:pPr>
      <w:r>
        <w:t>5.2 Ingestion and Approval Pipeline</w:t>
      </w:r>
    </w:p>
    <w:p>
      <w:pPr>
        <w:pStyle w:val="ListNumber"/>
      </w:pPr>
      <w:r>
        <w:t>Acquire source: textbook, NASA report, NIST data, standard, internal test report, supplier data, or validated simulation package.</w:t>
      </w:r>
    </w:p>
    <w:p>
      <w:pPr>
        <w:pStyle w:val="ListNumber"/>
      </w:pPr>
      <w:r>
        <w:t>Capture license and access rights before ingestion.</w:t>
      </w:r>
    </w:p>
    <w:p>
      <w:pPr>
        <w:pStyle w:val="ListNumber"/>
      </w:pPr>
      <w:r>
        <w:t>Convert to machine-readable text with page, section, table, and figure preservation where possible.</w:t>
      </w:r>
    </w:p>
    <w:p>
      <w:pPr>
        <w:pStyle w:val="ListNumber"/>
      </w:pPr>
      <w:r>
        <w:t>Extract candidate equations, variables, material data, propellant data, and assumptions.</w:t>
      </w:r>
    </w:p>
    <w:p>
      <w:pPr>
        <w:pStyle w:val="ListNumber"/>
      </w:pPr>
      <w:r>
        <w:t>Run unit and dimensional checks on every candidate equation.</w:t>
      </w:r>
    </w:p>
    <w:p>
      <w:pPr>
        <w:pStyle w:val="ListNumber"/>
      </w:pPr>
      <w:r>
        <w:t>Assign confidence, source status, and domain-owner review state.</w:t>
      </w:r>
    </w:p>
    <w:p>
      <w:pPr>
        <w:pStyle w:val="ListNumber"/>
      </w:pPr>
      <w:r>
        <w:t>Store immutable source document, derived structured objects, embeddings, keyword indexes, and graph relationships.</w:t>
      </w:r>
    </w:p>
    <w:p>
      <w:pPr>
        <w:pStyle w:val="ListNumber"/>
      </w:pPr>
      <w:r>
        <w:t>Promote only reviewed objects into solver-eligible status.</w:t>
      </w:r>
    </w:p>
    <w:p>
      <w:pPr>
        <w:pStyle w:val="Heading2"/>
      </w:pPr>
      <w:r>
        <w:t>5.3 Knowledge Graph Relationships</w:t>
      </w:r>
    </w:p>
    <w:tbl>
      <w:tblPr>
        <w:tblStyle w:val="TableGrid"/>
        <w:tblW w:type="dxa" w:w="9360"/>
        <w:tblLook w:firstColumn="1" w:firstRow="1" w:lastColumn="0" w:lastRow="0" w:noHBand="0" w:noVBand="1" w:val="04A0"/>
        <w:tblInd w:w="120" w:type="dxa"/>
        <w:tblLayout w:type="fixed"/>
      </w:tblPr>
      <w:tblGrid>
        <w:gridCol w:w="9360"/>
      </w:tblGrid>
      <w:tr>
        <w:trPr>
          <w:cantSplit w:val="true"/>
        </w:trPr>
        <w:tc>
          <w:tcPr>
            <w:tcW w:type="dxa" w:w="9360"/>
            <w:vAlign w:val="center"/>
            <w:tcMar>
              <w:top w:w="80" w:type="dxa"/>
              <w:start w:w="120" w:type="dxa"/>
              <w:bottom w:w="80" w:type="dxa"/>
              <w:end w:w="120" w:type="dxa"/>
            </w:tcMar>
            <w:shd w:fill="FBFCFE"/>
          </w:tcPr>
          <w:p>
            <w:pPr>
              <w:spacing w:after="0"/>
            </w:pPr>
            <w:r>
              <w:rPr>
                <w:rFonts w:ascii="Courier New" w:hAnsi="Courier New"/>
                <w:color w:val="0B2545"/>
                <w:sz w:val="17"/>
              </w:rPr>
              <w:t>Reference -&gt; Document -&gt; Section -&gt; Equation -&gt; Variables -&gt; Units -&gt; Dimensions</w:t>
              <w:br/>
              <w:t>Equation -&gt; Assumptions -&gt; Validity Range -&gt; Verification Test -&gt; Solver Function</w:t>
              <w:br/>
              <w:t>Material -&gt; Manufacturing Process -&gt; Allowables -&gt; Structural Analysis Case</w:t>
              <w:br/>
              <w:t>Propellant -&gt; Thermochemistry Model -&gt; Combustion Solver -&gt; Cooling Solver</w:t>
              <w:br/>
              <w:t>CAD Feature -&gt; Solver Output -&gt; Requirement -&gt; Evidence Packet -&gt; Human Review</w:t>
            </w:r>
          </w:p>
        </w:tc>
      </w:tr>
    </w:tbl>
    <w:p>
      <w:pPr>
        <w:spacing w:before="0" w:after="40" w:line="240" w:lineRule="auto"/>
      </w:pPr>
      <w:r>
        <w:rPr>
          <w:rFonts w:ascii="Calibri" w:hAnsi="Calibri"/>
          <w:sz w:val="2"/>
        </w:rPr>
        <w:t xml:space="preserve"> </w:t>
      </w:r>
    </w:p>
    <w:p>
      <w:pPr>
        <w:pStyle w:val="Heading1"/>
      </w:pPr>
      <w:r>
        <w:t>6. Engineering Computation Kernel</w:t>
      </w:r>
    </w:p>
    <w:p>
      <w:r>
        <w:t>The computation kernel is the deterministic heart of COSMOS. It shall transform a design contract into a coherent design state by using versioned, tested, traceable physics and systems solvers. The AI/RAG layer can explain or retrieve; it cannot replace solver validation.</w:t>
      </w:r>
    </w:p>
    <w:tbl>
      <w:tblPr>
        <w:tblStyle w:val="TableGrid"/>
        <w:tblW w:type="dxa" w:w="9360"/>
        <w:jc w:val="left"/>
        <w:tblLook w:firstColumn="1" w:firstRow="1" w:lastColumn="0" w:lastRow="0" w:noHBand="0" w:noVBand="1" w:val="04A0"/>
        <w:tblInd w:w="120" w:type="dxa"/>
        <w:tblLayout w:type="fixed"/>
      </w:tblPr>
      <w:tblGrid>
        <w:gridCol w:w="1600"/>
        <w:gridCol w:w="5000"/>
        <w:gridCol w:w="2760"/>
      </w:tblGrid>
      <w:tr>
        <w:trPr>
          <w:tblHeader w:val="true"/>
          <w:cantSplit w:val="true"/>
        </w:trPr>
        <w:tc>
          <w:tcPr>
            <w:tcW w:type="dxa" w:w="1600"/>
            <w:vAlign w:val="center"/>
            <w:tcMar>
              <w:top w:w="80" w:type="dxa"/>
              <w:start w:w="120" w:type="dxa"/>
              <w:bottom w:w="80" w:type="dxa"/>
              <w:end w:w="120" w:type="dxa"/>
            </w:tcMar>
            <w:shd w:fill="F2F4F7"/>
          </w:tcPr>
          <w:p>
            <w:pPr>
              <w:spacing w:after="0"/>
            </w:pPr>
            <w:r>
              <w:rPr>
                <w:rFonts w:ascii="Calibri" w:hAnsi="Calibri"/>
                <w:b/>
                <w:color w:val="0B2545"/>
                <w:sz w:val="17"/>
              </w:rPr>
              <w:t>Solver Family</w:t>
            </w:r>
          </w:p>
        </w:tc>
        <w:tc>
          <w:tcPr>
            <w:tcW w:type="dxa" w:w="5000"/>
            <w:vAlign w:val="center"/>
            <w:tcMar>
              <w:top w:w="80" w:type="dxa"/>
              <w:start w:w="120" w:type="dxa"/>
              <w:bottom w:w="80" w:type="dxa"/>
              <w:end w:w="120" w:type="dxa"/>
            </w:tcMar>
            <w:shd w:fill="F2F4F7"/>
          </w:tcPr>
          <w:p>
            <w:pPr>
              <w:spacing w:after="0"/>
            </w:pPr>
            <w:r>
              <w:rPr>
                <w:rFonts w:ascii="Calibri" w:hAnsi="Calibri"/>
                <w:b/>
                <w:color w:val="0B2545"/>
                <w:sz w:val="17"/>
              </w:rPr>
              <w:t>Responsibilities</w:t>
            </w:r>
          </w:p>
        </w:tc>
        <w:tc>
          <w:tcPr>
            <w:tcW w:type="dxa" w:w="2760"/>
            <w:vAlign w:val="center"/>
            <w:tcMar>
              <w:top w:w="80" w:type="dxa"/>
              <w:start w:w="120" w:type="dxa"/>
              <w:bottom w:w="80" w:type="dxa"/>
              <w:end w:w="120" w:type="dxa"/>
            </w:tcMar>
            <w:shd w:fill="F2F4F7"/>
          </w:tcPr>
          <w:p>
            <w:pPr>
              <w:spacing w:after="0"/>
            </w:pPr>
            <w:r>
              <w:rPr>
                <w:rFonts w:ascii="Calibri" w:hAnsi="Calibri"/>
                <w:b/>
                <w:color w:val="0B2545"/>
                <w:sz w:val="17"/>
              </w:rPr>
              <w:t>Early Maturity Target</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Thermochemistry</w:t>
            </w:r>
          </w:p>
        </w:tc>
        <w:tc>
          <w:tcPr>
            <w:tcW w:type="dxa" w:w="5000"/>
            <w:tcMar>
              <w:top w:w="80" w:type="dxa"/>
              <w:start w:w="120" w:type="dxa"/>
              <w:bottom w:w="80" w:type="dxa"/>
              <w:end w:w="120" w:type="dxa"/>
            </w:tcMar>
          </w:tcPr>
          <w:p>
            <w:pPr>
              <w:spacing w:after="0"/>
            </w:pPr>
            <w:r>
              <w:rPr>
                <w:rFonts w:ascii="Calibri" w:hAnsi="Calibri"/>
                <w:color w:val="000000"/>
                <w:sz w:val="17"/>
              </w:rPr>
              <w:t>CEA/RocketCEA/Cantera integration, propellant properties, mixture ratio sweeps, combustion products</w:t>
            </w:r>
          </w:p>
        </w:tc>
        <w:tc>
          <w:tcPr>
            <w:tcW w:type="dxa" w:w="2760"/>
            <w:tcMar>
              <w:top w:w="80" w:type="dxa"/>
              <w:start w:w="120" w:type="dxa"/>
              <w:bottom w:w="80" w:type="dxa"/>
              <w:end w:w="120" w:type="dxa"/>
            </w:tcMar>
          </w:tcPr>
          <w:p>
            <w:pPr>
              <w:spacing w:after="0"/>
            </w:pPr>
            <w:r>
              <w:rPr>
                <w:rFonts w:ascii="Calibri" w:hAnsi="Calibri"/>
                <w:color w:val="000000"/>
                <w:sz w:val="17"/>
              </w:rPr>
              <w:t>Validated external-engine adapter</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Performance</w:t>
            </w:r>
          </w:p>
        </w:tc>
        <w:tc>
          <w:tcPr>
            <w:tcW w:type="dxa" w:w="5000"/>
            <w:tcMar>
              <w:top w:w="80" w:type="dxa"/>
              <w:start w:w="120" w:type="dxa"/>
              <w:bottom w:w="80" w:type="dxa"/>
              <w:end w:w="120" w:type="dxa"/>
            </w:tcMar>
          </w:tcPr>
          <w:p>
            <w:pPr>
              <w:spacing w:after="0"/>
            </w:pPr>
            <w:r>
              <w:rPr>
                <w:rFonts w:ascii="Calibri" w:hAnsi="Calibri"/>
                <w:color w:val="000000"/>
                <w:sz w:val="17"/>
              </w:rPr>
              <w:t>Thrust, Isp, c-star, expansion ratio, mass flow, pressure ratios</w:t>
            </w:r>
          </w:p>
        </w:tc>
        <w:tc>
          <w:tcPr>
            <w:tcW w:type="dxa" w:w="2760"/>
            <w:tcMar>
              <w:top w:w="80" w:type="dxa"/>
              <w:start w:w="120" w:type="dxa"/>
              <w:bottom w:w="80" w:type="dxa"/>
              <w:end w:w="120" w:type="dxa"/>
            </w:tcMar>
          </w:tcPr>
          <w:p>
            <w:pPr>
              <w:spacing w:after="0"/>
            </w:pPr>
            <w:r>
              <w:rPr>
                <w:rFonts w:ascii="Calibri" w:hAnsi="Calibri"/>
                <w:color w:val="000000"/>
                <w:sz w:val="17"/>
              </w:rPr>
              <w:t>Preliminary design capability</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Chamber and nozzle</w:t>
            </w:r>
          </w:p>
        </w:tc>
        <w:tc>
          <w:tcPr>
            <w:tcW w:type="dxa" w:w="5000"/>
            <w:tcMar>
              <w:top w:w="80" w:type="dxa"/>
              <w:start w:w="120" w:type="dxa"/>
              <w:bottom w:w="80" w:type="dxa"/>
              <w:end w:w="120" w:type="dxa"/>
            </w:tcMar>
          </w:tcPr>
          <w:p>
            <w:pPr>
              <w:spacing w:after="0"/>
            </w:pPr>
            <w:r>
              <w:rPr>
                <w:rFonts w:ascii="Calibri" w:hAnsi="Calibri"/>
                <w:color w:val="000000"/>
                <w:sz w:val="17"/>
              </w:rPr>
              <w:t>Chamber volume, contraction ratio, throat, bell contour, expansion, contour families</w:t>
            </w:r>
          </w:p>
        </w:tc>
        <w:tc>
          <w:tcPr>
            <w:tcW w:type="dxa" w:w="2760"/>
            <w:tcMar>
              <w:top w:w="80" w:type="dxa"/>
              <w:start w:w="120" w:type="dxa"/>
              <w:bottom w:w="80" w:type="dxa"/>
              <w:end w:w="120" w:type="dxa"/>
            </w:tcMar>
          </w:tcPr>
          <w:p>
            <w:pPr>
              <w:spacing w:after="0"/>
            </w:pPr>
            <w:r>
              <w:rPr>
                <w:rFonts w:ascii="Calibri" w:hAnsi="Calibri"/>
                <w:color w:val="000000"/>
                <w:sz w:val="17"/>
              </w:rPr>
              <w:t>Parametric geometry-ready outputs</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Injector</w:t>
            </w:r>
          </w:p>
        </w:tc>
        <w:tc>
          <w:tcPr>
            <w:tcW w:type="dxa" w:w="5000"/>
            <w:tcMar>
              <w:top w:w="80" w:type="dxa"/>
              <w:start w:w="120" w:type="dxa"/>
              <w:bottom w:w="80" w:type="dxa"/>
              <w:end w:w="120" w:type="dxa"/>
            </w:tcMar>
          </w:tcPr>
          <w:p>
            <w:pPr>
              <w:spacing w:after="0"/>
            </w:pPr>
            <w:r>
              <w:rPr>
                <w:rFonts w:ascii="Calibri" w:hAnsi="Calibri"/>
                <w:color w:val="000000"/>
                <w:sz w:val="17"/>
              </w:rPr>
              <w:t>Injector type selection, orifice sizing, pressure drop, spray assumptions, face layout</w:t>
            </w:r>
          </w:p>
        </w:tc>
        <w:tc>
          <w:tcPr>
            <w:tcW w:type="dxa" w:w="2760"/>
            <w:tcMar>
              <w:top w:w="80" w:type="dxa"/>
              <w:start w:w="120" w:type="dxa"/>
              <w:bottom w:w="80" w:type="dxa"/>
              <w:end w:w="120" w:type="dxa"/>
            </w:tcMar>
          </w:tcPr>
          <w:p>
            <w:pPr>
              <w:spacing w:after="0"/>
            </w:pPr>
            <w:r>
              <w:rPr>
                <w:rFonts w:ascii="Calibri" w:hAnsi="Calibri"/>
                <w:color w:val="000000"/>
                <w:sz w:val="17"/>
              </w:rPr>
              <w:t>Initial liquid/liquid injector generator</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Cooling</w:t>
            </w:r>
          </w:p>
        </w:tc>
        <w:tc>
          <w:tcPr>
            <w:tcW w:type="dxa" w:w="5000"/>
            <w:tcMar>
              <w:top w:w="80" w:type="dxa"/>
              <w:start w:w="120" w:type="dxa"/>
              <w:bottom w:w="80" w:type="dxa"/>
              <w:end w:w="120" w:type="dxa"/>
            </w:tcMar>
          </w:tcPr>
          <w:p>
            <w:pPr>
              <w:spacing w:after="0"/>
            </w:pPr>
            <w:r>
              <w:rPr>
                <w:rFonts w:ascii="Calibri" w:hAnsi="Calibri"/>
                <w:color w:val="000000"/>
                <w:sz w:val="17"/>
              </w:rPr>
              <w:t>Regenerative channel sizing, heat flux correlation, pressure drop, wall temperature estimates</w:t>
            </w:r>
          </w:p>
        </w:tc>
        <w:tc>
          <w:tcPr>
            <w:tcW w:type="dxa" w:w="2760"/>
            <w:tcMar>
              <w:top w:w="80" w:type="dxa"/>
              <w:start w:w="120" w:type="dxa"/>
              <w:bottom w:w="80" w:type="dxa"/>
              <w:end w:w="120" w:type="dxa"/>
            </w:tcMar>
          </w:tcPr>
          <w:p>
            <w:pPr>
              <w:spacing w:after="0"/>
            </w:pPr>
            <w:r>
              <w:rPr>
                <w:rFonts w:ascii="Calibri" w:hAnsi="Calibri"/>
                <w:color w:val="000000"/>
                <w:sz w:val="17"/>
              </w:rPr>
              <w:t>Conservative steady-state model</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Structure</w:t>
            </w:r>
          </w:p>
        </w:tc>
        <w:tc>
          <w:tcPr>
            <w:tcW w:type="dxa" w:w="5000"/>
            <w:tcMar>
              <w:top w:w="80" w:type="dxa"/>
              <w:start w:w="120" w:type="dxa"/>
              <w:bottom w:w="80" w:type="dxa"/>
              <w:end w:w="120" w:type="dxa"/>
            </w:tcMar>
          </w:tcPr>
          <w:p>
            <w:pPr>
              <w:spacing w:after="0"/>
            </w:pPr>
            <w:r>
              <w:rPr>
                <w:rFonts w:ascii="Calibri" w:hAnsi="Calibri"/>
                <w:color w:val="000000"/>
                <w:sz w:val="17"/>
              </w:rPr>
              <w:t>Hoop stress, thermal stress, buckling, margins, fatigue pre-checks</w:t>
            </w:r>
          </w:p>
        </w:tc>
        <w:tc>
          <w:tcPr>
            <w:tcW w:type="dxa" w:w="2760"/>
            <w:tcMar>
              <w:top w:w="80" w:type="dxa"/>
              <w:start w:w="120" w:type="dxa"/>
              <w:bottom w:w="80" w:type="dxa"/>
              <w:end w:w="120" w:type="dxa"/>
            </w:tcMar>
          </w:tcPr>
          <w:p>
            <w:pPr>
              <w:spacing w:after="0"/>
            </w:pPr>
            <w:r>
              <w:rPr>
                <w:rFonts w:ascii="Calibri" w:hAnsi="Calibri"/>
                <w:color w:val="000000"/>
                <w:sz w:val="17"/>
              </w:rPr>
              <w:t>Pre-FEA screening</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Ignition</w:t>
            </w:r>
          </w:p>
        </w:tc>
        <w:tc>
          <w:tcPr>
            <w:tcW w:type="dxa" w:w="5000"/>
            <w:tcMar>
              <w:top w:w="80" w:type="dxa"/>
              <w:start w:w="120" w:type="dxa"/>
              <w:bottom w:w="80" w:type="dxa"/>
              <w:end w:w="120" w:type="dxa"/>
            </w:tcMar>
          </w:tcPr>
          <w:p>
            <w:pPr>
              <w:spacing w:after="0"/>
            </w:pPr>
            <w:r>
              <w:rPr>
                <w:rFonts w:ascii="Calibri" w:hAnsi="Calibri"/>
                <w:color w:val="000000"/>
                <w:sz w:val="17"/>
              </w:rPr>
              <w:t>Igniter sizing basis, energy requirement, interface geometry</w:t>
            </w:r>
          </w:p>
        </w:tc>
        <w:tc>
          <w:tcPr>
            <w:tcW w:type="dxa" w:w="2760"/>
            <w:tcMar>
              <w:top w:w="80" w:type="dxa"/>
              <w:start w:w="120" w:type="dxa"/>
              <w:bottom w:w="80" w:type="dxa"/>
              <w:end w:w="120" w:type="dxa"/>
            </w:tcMar>
          </w:tcPr>
          <w:p>
            <w:pPr>
              <w:spacing w:after="0"/>
            </w:pPr>
            <w:r>
              <w:rPr>
                <w:rFonts w:ascii="Calibri" w:hAnsi="Calibri"/>
                <w:color w:val="000000"/>
                <w:sz w:val="17"/>
              </w:rPr>
              <w:t>Conceptual generator with review gate</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Feed dynamics</w:t>
            </w:r>
          </w:p>
        </w:tc>
        <w:tc>
          <w:tcPr>
            <w:tcW w:type="dxa" w:w="5000"/>
            <w:tcMar>
              <w:top w:w="80" w:type="dxa"/>
              <w:start w:w="120" w:type="dxa"/>
              <w:bottom w:w="80" w:type="dxa"/>
              <w:end w:w="120" w:type="dxa"/>
            </w:tcMar>
          </w:tcPr>
          <w:p>
            <w:pPr>
              <w:spacing w:after="0"/>
            </w:pPr>
            <w:r>
              <w:rPr>
                <w:rFonts w:ascii="Calibri" w:hAnsi="Calibri"/>
                <w:color w:val="000000"/>
                <w:sz w:val="17"/>
              </w:rPr>
              <w:t>Tank pressure, line losses, valve/transient model hooks</w:t>
            </w:r>
          </w:p>
        </w:tc>
        <w:tc>
          <w:tcPr>
            <w:tcW w:type="dxa" w:w="2760"/>
            <w:tcMar>
              <w:top w:w="80" w:type="dxa"/>
              <w:start w:w="120" w:type="dxa"/>
              <w:bottom w:w="80" w:type="dxa"/>
              <w:end w:w="120" w:type="dxa"/>
            </w:tcMar>
          </w:tcPr>
          <w:p>
            <w:pPr>
              <w:spacing w:after="0"/>
            </w:pPr>
            <w:r>
              <w:rPr>
                <w:rFonts w:ascii="Calibri" w:hAnsi="Calibri"/>
                <w:color w:val="000000"/>
                <w:sz w:val="17"/>
              </w:rPr>
              <w:t>Simscape/Modelica adapter initially</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Reliability</w:t>
            </w:r>
          </w:p>
        </w:tc>
        <w:tc>
          <w:tcPr>
            <w:tcW w:type="dxa" w:w="5000"/>
            <w:tcMar>
              <w:top w:w="80" w:type="dxa"/>
              <w:start w:w="120" w:type="dxa"/>
              <w:bottom w:w="80" w:type="dxa"/>
              <w:end w:w="120" w:type="dxa"/>
            </w:tcMar>
          </w:tcPr>
          <w:p>
            <w:pPr>
              <w:spacing w:after="0"/>
            </w:pPr>
            <w:r>
              <w:rPr>
                <w:rFonts w:ascii="Calibri" w:hAnsi="Calibri"/>
                <w:color w:val="000000"/>
                <w:sz w:val="17"/>
              </w:rPr>
              <w:t>FMEA, hazards, margin tracking, failure-mode catalog</w:t>
            </w:r>
          </w:p>
        </w:tc>
        <w:tc>
          <w:tcPr>
            <w:tcW w:type="dxa" w:w="2760"/>
            <w:tcMar>
              <w:top w:w="80" w:type="dxa"/>
              <w:start w:w="120" w:type="dxa"/>
              <w:bottom w:w="80" w:type="dxa"/>
              <w:end w:w="120" w:type="dxa"/>
            </w:tcMar>
          </w:tcPr>
          <w:p>
            <w:pPr>
              <w:spacing w:after="0"/>
            </w:pPr>
            <w:r>
              <w:rPr>
                <w:rFonts w:ascii="Calibri" w:hAnsi="Calibri"/>
                <w:color w:val="000000"/>
                <w:sz w:val="17"/>
              </w:rPr>
              <w:t>Design review support</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Optimization</w:t>
            </w:r>
          </w:p>
        </w:tc>
        <w:tc>
          <w:tcPr>
            <w:tcW w:type="dxa" w:w="5000"/>
            <w:tcMar>
              <w:top w:w="80" w:type="dxa"/>
              <w:start w:w="120" w:type="dxa"/>
              <w:bottom w:w="80" w:type="dxa"/>
              <w:end w:w="120" w:type="dxa"/>
            </w:tcMar>
          </w:tcPr>
          <w:p>
            <w:pPr>
              <w:spacing w:after="0"/>
            </w:pPr>
            <w:r>
              <w:rPr>
                <w:rFonts w:ascii="Calibri" w:hAnsi="Calibri"/>
                <w:color w:val="000000"/>
                <w:sz w:val="17"/>
              </w:rPr>
              <w:t>Parametric MDO, topology candidate loops, uncertainty sweeps</w:t>
            </w:r>
          </w:p>
        </w:tc>
        <w:tc>
          <w:tcPr>
            <w:tcW w:type="dxa" w:w="2760"/>
            <w:tcMar>
              <w:top w:w="80" w:type="dxa"/>
              <w:start w:w="120" w:type="dxa"/>
              <w:bottom w:w="80" w:type="dxa"/>
              <w:end w:w="120" w:type="dxa"/>
            </w:tcMar>
          </w:tcPr>
          <w:p>
            <w:pPr>
              <w:spacing w:after="0"/>
            </w:pPr>
            <w:r>
              <w:rPr>
                <w:rFonts w:ascii="Calibri" w:hAnsi="Calibri"/>
                <w:color w:val="000000"/>
                <w:sz w:val="17"/>
              </w:rPr>
              <w:t>OpenMDAO-first orchestration</w:t>
            </w:r>
          </w:p>
        </w:tc>
      </w:tr>
    </w:tbl>
    <w:p>
      <w:pPr>
        <w:spacing w:before="0" w:after="40" w:line="240" w:lineRule="auto"/>
      </w:pPr>
      <w:r>
        <w:rPr>
          <w:rFonts w:ascii="Calibri" w:hAnsi="Calibri"/>
          <w:sz w:val="2"/>
        </w:rPr>
        <w:t xml:space="preserve"> </w:t>
      </w:r>
    </w:p>
    <w:p>
      <w:pPr>
        <w:pStyle w:val="Heading2"/>
      </w:pPr>
      <w:r>
        <w:t>6.1 Design State Object</w:t>
      </w:r>
    </w:p>
    <w:p>
      <w:r>
        <w:t>A central EngineDesign object shall be the source of truth for a generated engine. It should be serializable, versioned, hashable, and replayable. It must include requirements, assumptions, solver inputs, solver outputs, CAD parameters, analysis packages, review status, and manufacturing-release evidence.</w:t>
      </w:r>
    </w:p>
    <w:p>
      <w:pPr>
        <w:pStyle w:val="ListBullet"/>
      </w:pPr>
      <w:r>
        <w:t>Requirements: thrust, burn time, chamber pressure, propellant pair, mission point, safety factors.</w:t>
      </w:r>
    </w:p>
    <w:p>
      <w:pPr>
        <w:pStyle w:val="ListBullet"/>
      </w:pPr>
      <w:r>
        <w:t>Design choices: cycle, mixture ratio, cooling method, injector family, material system, manufacturing process.</w:t>
      </w:r>
    </w:p>
    <w:p>
      <w:pPr>
        <w:pStyle w:val="ListBullet"/>
      </w:pPr>
      <w:r>
        <w:t>Solver outputs: mass flow, throat area, expansion ratio, wall heat flux, channel dimensions, pressure drops, stresses.</w:t>
      </w:r>
    </w:p>
    <w:p>
      <w:pPr>
        <w:pStyle w:val="ListBullet"/>
      </w:pPr>
      <w:r>
        <w:t>Geometry parameters: chamber length, radii, throat contour, nozzle control points, channel path, injector layout.</w:t>
      </w:r>
    </w:p>
    <w:p>
      <w:pPr>
        <w:pStyle w:val="ListBullet"/>
      </w:pPr>
      <w:r>
        <w:t>Analysis records: mesh metadata, load cases, boundary conditions, convergence, result fields, comparison deltas.</w:t>
      </w:r>
    </w:p>
    <w:p>
      <w:pPr>
        <w:pStyle w:val="ListBullet"/>
      </w:pPr>
      <w:r>
        <w:t>Release records: reviewer identity, open issues, waivers, signoff status, exported files, checksums.</w:t>
      </w:r>
    </w:p>
    <w:p>
      <w:pPr>
        <w:pStyle w:val="Heading1"/>
      </w:pPr>
      <w:r>
        <w:t>7. CAD and Geometry Generation</w:t>
      </w:r>
    </w:p>
    <w:p>
      <w:r>
        <w:t>COSMOS should generate parametric CAD first. Direct mesh generation is not enough for engineering design control. A parametric model preserves design intent, lets users export to Siemens NX, Ansys, Nastran, Fluent, OpenFOAM, and manufacturing systems, and enables future regeneration when requirements or solver models change.</w:t>
      </w:r>
    </w:p>
    <w:tbl>
      <w:tblPr>
        <w:tblStyle w:val="TableGrid"/>
        <w:tblW w:type="dxa" w:w="9360"/>
        <w:jc w:val="left"/>
        <w:tblLook w:firstColumn="1" w:firstRow="1" w:lastColumn="0" w:lastRow="0" w:noHBand="0" w:noVBand="1" w:val="04A0"/>
        <w:tblInd w:w="120" w:type="dxa"/>
        <w:tblLayout w:type="fixed"/>
      </w:tblPr>
      <w:tblGrid>
        <w:gridCol w:w="1700"/>
        <w:gridCol w:w="5200"/>
        <w:gridCol w:w="2460"/>
      </w:tblGrid>
      <w:tr>
        <w:trPr>
          <w:tblHeader w:val="true"/>
          <w:cantSplit w:val="true"/>
        </w:trPr>
        <w:tc>
          <w:tcPr>
            <w:tcW w:type="dxa" w:w="1700"/>
            <w:vAlign w:val="center"/>
            <w:tcMar>
              <w:top w:w="80" w:type="dxa"/>
              <w:start w:w="120" w:type="dxa"/>
              <w:bottom w:w="80" w:type="dxa"/>
              <w:end w:w="120" w:type="dxa"/>
            </w:tcMar>
            <w:shd w:fill="F2F4F7"/>
          </w:tcPr>
          <w:p>
            <w:pPr>
              <w:spacing w:after="0"/>
            </w:pPr>
            <w:r>
              <w:rPr>
                <w:rFonts w:ascii="Calibri" w:hAnsi="Calibri"/>
                <w:b/>
                <w:color w:val="0B2545"/>
                <w:sz w:val="17"/>
              </w:rPr>
              <w:t>Geometry Object</w:t>
            </w:r>
          </w:p>
        </w:tc>
        <w:tc>
          <w:tcPr>
            <w:tcW w:type="dxa" w:w="5200"/>
            <w:vAlign w:val="center"/>
            <w:tcMar>
              <w:top w:w="80" w:type="dxa"/>
              <w:start w:w="120" w:type="dxa"/>
              <w:bottom w:w="80" w:type="dxa"/>
              <w:end w:w="120" w:type="dxa"/>
            </w:tcMar>
            <w:shd w:fill="F2F4F7"/>
          </w:tcPr>
          <w:p>
            <w:pPr>
              <w:spacing w:after="0"/>
            </w:pPr>
            <w:r>
              <w:rPr>
                <w:rFonts w:ascii="Calibri" w:hAnsi="Calibri"/>
                <w:b/>
                <w:color w:val="0B2545"/>
                <w:sz w:val="17"/>
              </w:rPr>
              <w:t>Generation Strategy</w:t>
            </w:r>
          </w:p>
        </w:tc>
        <w:tc>
          <w:tcPr>
            <w:tcW w:type="dxa" w:w="2460"/>
            <w:vAlign w:val="center"/>
            <w:tcMar>
              <w:top w:w="80" w:type="dxa"/>
              <w:start w:w="120" w:type="dxa"/>
              <w:bottom w:w="80" w:type="dxa"/>
              <w:end w:w="120" w:type="dxa"/>
            </w:tcMar>
            <w:shd w:fill="F2F4F7"/>
          </w:tcPr>
          <w:p>
            <w:pPr>
              <w:spacing w:after="0"/>
            </w:pPr>
            <w:r>
              <w:rPr>
                <w:rFonts w:ascii="Calibri" w:hAnsi="Calibri"/>
                <w:b/>
                <w:color w:val="0B2545"/>
                <w:sz w:val="17"/>
              </w:rPr>
              <w:t>Primary Export</w:t>
            </w:r>
          </w:p>
        </w:tc>
      </w:tr>
      <w:tr>
        <w:trPr>
          <w:cantSplit w:val="true"/>
        </w:trPr>
        <w:tc>
          <w:tcPr>
            <w:tcW w:type="dxa" w:w="1700"/>
            <w:tcMar>
              <w:top w:w="80" w:type="dxa"/>
              <w:start w:w="120" w:type="dxa"/>
              <w:bottom w:w="80" w:type="dxa"/>
              <w:end w:w="120" w:type="dxa"/>
            </w:tcMar>
          </w:tcPr>
          <w:p>
            <w:pPr>
              <w:spacing w:after="0"/>
            </w:pPr>
            <w:r>
              <w:rPr>
                <w:rFonts w:ascii="Calibri" w:hAnsi="Calibri"/>
                <w:color w:val="000000"/>
                <w:sz w:val="17"/>
              </w:rPr>
              <w:t>Thrust chamber</w:t>
            </w:r>
          </w:p>
        </w:tc>
        <w:tc>
          <w:tcPr>
            <w:tcW w:type="dxa" w:w="5200"/>
            <w:tcMar>
              <w:top w:w="80" w:type="dxa"/>
              <w:start w:w="120" w:type="dxa"/>
              <w:bottom w:w="80" w:type="dxa"/>
              <w:end w:w="120" w:type="dxa"/>
            </w:tcMar>
          </w:tcPr>
          <w:p>
            <w:pPr>
              <w:spacing w:after="0"/>
            </w:pPr>
            <w:r>
              <w:rPr>
                <w:rFonts w:ascii="Calibri" w:hAnsi="Calibri"/>
                <w:color w:val="000000"/>
                <w:sz w:val="17"/>
              </w:rPr>
              <w:t>Parametric chamber barrel, contraction, throat, nozzle contour, wall thickness rules</w:t>
            </w:r>
          </w:p>
        </w:tc>
        <w:tc>
          <w:tcPr>
            <w:tcW w:type="dxa" w:w="2460"/>
            <w:tcMar>
              <w:top w:w="80" w:type="dxa"/>
              <w:start w:w="120" w:type="dxa"/>
              <w:bottom w:w="80" w:type="dxa"/>
              <w:end w:w="120" w:type="dxa"/>
            </w:tcMar>
          </w:tcPr>
          <w:p>
            <w:pPr>
              <w:spacing w:after="0"/>
            </w:pPr>
            <w:r>
              <w:rPr>
                <w:rFonts w:ascii="Calibri" w:hAnsi="Calibri"/>
                <w:color w:val="000000"/>
                <w:sz w:val="17"/>
              </w:rPr>
              <w:t>STEP, Parasolid if licensed, neutral mesh</w:t>
            </w:r>
          </w:p>
        </w:tc>
      </w:tr>
      <w:tr>
        <w:trPr>
          <w:cantSplit w:val="true"/>
        </w:trPr>
        <w:tc>
          <w:tcPr>
            <w:tcW w:type="dxa" w:w="1700"/>
            <w:tcMar>
              <w:top w:w="80" w:type="dxa"/>
              <w:start w:w="120" w:type="dxa"/>
              <w:bottom w:w="80" w:type="dxa"/>
              <w:end w:w="120" w:type="dxa"/>
            </w:tcMar>
          </w:tcPr>
          <w:p>
            <w:pPr>
              <w:spacing w:after="0"/>
            </w:pPr>
            <w:r>
              <w:rPr>
                <w:rFonts w:ascii="Calibri" w:hAnsi="Calibri"/>
                <w:color w:val="000000"/>
                <w:sz w:val="17"/>
              </w:rPr>
              <w:t>Nozzle</w:t>
            </w:r>
          </w:p>
        </w:tc>
        <w:tc>
          <w:tcPr>
            <w:tcW w:type="dxa" w:w="5200"/>
            <w:tcMar>
              <w:top w:w="80" w:type="dxa"/>
              <w:start w:w="120" w:type="dxa"/>
              <w:bottom w:w="80" w:type="dxa"/>
              <w:end w:w="120" w:type="dxa"/>
            </w:tcMar>
          </w:tcPr>
          <w:p>
            <w:pPr>
              <w:spacing w:after="0"/>
            </w:pPr>
            <w:r>
              <w:rPr>
                <w:rFonts w:ascii="Calibri" w:hAnsi="Calibri"/>
                <w:color w:val="000000"/>
                <w:sz w:val="17"/>
              </w:rPr>
              <w:t>Bell, conical, contour families; shape optimization around control points</w:t>
            </w:r>
          </w:p>
        </w:tc>
        <w:tc>
          <w:tcPr>
            <w:tcW w:type="dxa" w:w="2460"/>
            <w:tcMar>
              <w:top w:w="80" w:type="dxa"/>
              <w:start w:w="120" w:type="dxa"/>
              <w:bottom w:w="80" w:type="dxa"/>
              <w:end w:w="120" w:type="dxa"/>
            </w:tcMar>
          </w:tcPr>
          <w:p>
            <w:pPr>
              <w:spacing w:after="0"/>
            </w:pPr>
            <w:r>
              <w:rPr>
                <w:rFonts w:ascii="Calibri" w:hAnsi="Calibri"/>
                <w:color w:val="000000"/>
                <w:sz w:val="17"/>
              </w:rPr>
              <w:t>STEP, IGES, CFD surface mesh</w:t>
            </w:r>
          </w:p>
        </w:tc>
      </w:tr>
      <w:tr>
        <w:trPr>
          <w:cantSplit w:val="true"/>
        </w:trPr>
        <w:tc>
          <w:tcPr>
            <w:tcW w:type="dxa" w:w="1700"/>
            <w:tcMar>
              <w:top w:w="80" w:type="dxa"/>
              <w:start w:w="120" w:type="dxa"/>
              <w:bottom w:w="80" w:type="dxa"/>
              <w:end w:w="120" w:type="dxa"/>
            </w:tcMar>
          </w:tcPr>
          <w:p>
            <w:pPr>
              <w:spacing w:after="0"/>
            </w:pPr>
            <w:r>
              <w:rPr>
                <w:rFonts w:ascii="Calibri" w:hAnsi="Calibri"/>
                <w:color w:val="000000"/>
                <w:sz w:val="17"/>
              </w:rPr>
              <w:t>Regen channels</w:t>
            </w:r>
          </w:p>
        </w:tc>
        <w:tc>
          <w:tcPr>
            <w:tcW w:type="dxa" w:w="5200"/>
            <w:tcMar>
              <w:top w:w="80" w:type="dxa"/>
              <w:start w:w="120" w:type="dxa"/>
              <w:bottom w:w="80" w:type="dxa"/>
              <w:end w:w="120" w:type="dxa"/>
            </w:tcMar>
          </w:tcPr>
          <w:p>
            <w:pPr>
              <w:spacing w:after="0"/>
            </w:pPr>
            <w:r>
              <w:rPr>
                <w:rFonts w:ascii="Calibri" w:hAnsi="Calibri"/>
                <w:color w:val="000000"/>
                <w:sz w:val="17"/>
              </w:rPr>
              <w:t>Parametric helical/axial channels, manifolds, rib thickness, pressure-drop constraints</w:t>
            </w:r>
          </w:p>
        </w:tc>
        <w:tc>
          <w:tcPr>
            <w:tcW w:type="dxa" w:w="2460"/>
            <w:tcMar>
              <w:top w:w="80" w:type="dxa"/>
              <w:start w:w="120" w:type="dxa"/>
              <w:bottom w:w="80" w:type="dxa"/>
              <w:end w:w="120" w:type="dxa"/>
            </w:tcMar>
          </w:tcPr>
          <w:p>
            <w:pPr>
              <w:spacing w:after="0"/>
            </w:pPr>
            <w:r>
              <w:rPr>
                <w:rFonts w:ascii="Calibri" w:hAnsi="Calibri"/>
                <w:color w:val="000000"/>
                <w:sz w:val="17"/>
              </w:rPr>
              <w:t>STEP, analysis mesh, manufacturing report</w:t>
            </w:r>
          </w:p>
        </w:tc>
      </w:tr>
      <w:tr>
        <w:trPr>
          <w:cantSplit w:val="true"/>
        </w:trPr>
        <w:tc>
          <w:tcPr>
            <w:tcW w:type="dxa" w:w="1700"/>
            <w:tcMar>
              <w:top w:w="80" w:type="dxa"/>
              <w:start w:w="120" w:type="dxa"/>
              <w:bottom w:w="80" w:type="dxa"/>
              <w:end w:w="120" w:type="dxa"/>
            </w:tcMar>
          </w:tcPr>
          <w:p>
            <w:pPr>
              <w:spacing w:after="0"/>
            </w:pPr>
            <w:r>
              <w:rPr>
                <w:rFonts w:ascii="Calibri" w:hAnsi="Calibri"/>
                <w:color w:val="000000"/>
                <w:sz w:val="17"/>
              </w:rPr>
              <w:t>Injector head</w:t>
            </w:r>
          </w:p>
        </w:tc>
        <w:tc>
          <w:tcPr>
            <w:tcW w:type="dxa" w:w="5200"/>
            <w:tcMar>
              <w:top w:w="80" w:type="dxa"/>
              <w:start w:w="120" w:type="dxa"/>
              <w:bottom w:w="80" w:type="dxa"/>
              <w:end w:w="120" w:type="dxa"/>
            </w:tcMar>
          </w:tcPr>
          <w:p>
            <w:pPr>
              <w:spacing w:after="0"/>
            </w:pPr>
            <w:r>
              <w:rPr>
                <w:rFonts w:ascii="Calibri" w:hAnsi="Calibri"/>
                <w:color w:val="000000"/>
                <w:sz w:val="17"/>
              </w:rPr>
              <w:t>Pattern generator for element families, manifolds, faceplate, pressure-drop metadata</w:t>
            </w:r>
          </w:p>
        </w:tc>
        <w:tc>
          <w:tcPr>
            <w:tcW w:type="dxa" w:w="2460"/>
            <w:tcMar>
              <w:top w:w="80" w:type="dxa"/>
              <w:start w:w="120" w:type="dxa"/>
              <w:bottom w:w="80" w:type="dxa"/>
              <w:end w:w="120" w:type="dxa"/>
            </w:tcMar>
          </w:tcPr>
          <w:p>
            <w:pPr>
              <w:spacing w:after="0"/>
            </w:pPr>
            <w:r>
              <w:rPr>
                <w:rFonts w:ascii="Calibri" w:hAnsi="Calibri"/>
                <w:color w:val="000000"/>
                <w:sz w:val="17"/>
              </w:rPr>
              <w:t>STEP, hole table, manufacturing drawing package</w:t>
            </w:r>
          </w:p>
        </w:tc>
      </w:tr>
      <w:tr>
        <w:trPr>
          <w:cantSplit w:val="true"/>
        </w:trPr>
        <w:tc>
          <w:tcPr>
            <w:tcW w:type="dxa" w:w="1700"/>
            <w:tcMar>
              <w:top w:w="80" w:type="dxa"/>
              <w:start w:w="120" w:type="dxa"/>
              <w:bottom w:w="80" w:type="dxa"/>
              <w:end w:w="120" w:type="dxa"/>
            </w:tcMar>
          </w:tcPr>
          <w:p>
            <w:pPr>
              <w:spacing w:after="0"/>
            </w:pPr>
            <w:r>
              <w:rPr>
                <w:rFonts w:ascii="Calibri" w:hAnsi="Calibri"/>
                <w:color w:val="000000"/>
                <w:sz w:val="17"/>
              </w:rPr>
              <w:t>Igniter</w:t>
            </w:r>
          </w:p>
        </w:tc>
        <w:tc>
          <w:tcPr>
            <w:tcW w:type="dxa" w:w="5200"/>
            <w:tcMar>
              <w:top w:w="80" w:type="dxa"/>
              <w:start w:w="120" w:type="dxa"/>
              <w:bottom w:w="80" w:type="dxa"/>
              <w:end w:w="120" w:type="dxa"/>
            </w:tcMar>
          </w:tcPr>
          <w:p>
            <w:pPr>
              <w:spacing w:after="0"/>
            </w:pPr>
            <w:r>
              <w:rPr>
                <w:rFonts w:ascii="Calibri" w:hAnsi="Calibri"/>
                <w:color w:val="000000"/>
                <w:sz w:val="17"/>
              </w:rPr>
              <w:t>Parameterized igniter chamber, ports, interfaces, feed lines, mounting</w:t>
            </w:r>
          </w:p>
        </w:tc>
        <w:tc>
          <w:tcPr>
            <w:tcW w:type="dxa" w:w="2460"/>
            <w:tcMar>
              <w:top w:w="80" w:type="dxa"/>
              <w:start w:w="120" w:type="dxa"/>
              <w:bottom w:w="80" w:type="dxa"/>
              <w:end w:w="120" w:type="dxa"/>
            </w:tcMar>
          </w:tcPr>
          <w:p>
            <w:pPr>
              <w:spacing w:after="0"/>
            </w:pPr>
            <w:r>
              <w:rPr>
                <w:rFonts w:ascii="Calibri" w:hAnsi="Calibri"/>
                <w:color w:val="000000"/>
                <w:sz w:val="17"/>
              </w:rPr>
              <w:t>STEP, analysis-ready solid</w:t>
            </w:r>
          </w:p>
        </w:tc>
      </w:tr>
      <w:tr>
        <w:trPr>
          <w:cantSplit w:val="true"/>
        </w:trPr>
        <w:tc>
          <w:tcPr>
            <w:tcW w:type="dxa" w:w="1700"/>
            <w:tcMar>
              <w:top w:w="80" w:type="dxa"/>
              <w:start w:w="120" w:type="dxa"/>
              <w:bottom w:w="80" w:type="dxa"/>
              <w:end w:w="120" w:type="dxa"/>
            </w:tcMar>
          </w:tcPr>
          <w:p>
            <w:pPr>
              <w:spacing w:after="0"/>
            </w:pPr>
            <w:r>
              <w:rPr>
                <w:rFonts w:ascii="Calibri" w:hAnsi="Calibri"/>
                <w:color w:val="000000"/>
                <w:sz w:val="17"/>
              </w:rPr>
              <w:t>Manifolds</w:t>
            </w:r>
          </w:p>
        </w:tc>
        <w:tc>
          <w:tcPr>
            <w:tcW w:type="dxa" w:w="5200"/>
            <w:tcMar>
              <w:top w:w="80" w:type="dxa"/>
              <w:start w:w="120" w:type="dxa"/>
              <w:bottom w:w="80" w:type="dxa"/>
              <w:end w:w="120" w:type="dxa"/>
            </w:tcMar>
          </w:tcPr>
          <w:p>
            <w:pPr>
              <w:spacing w:after="0"/>
            </w:pPr>
            <w:r>
              <w:rPr>
                <w:rFonts w:ascii="Calibri" w:hAnsi="Calibri"/>
                <w:color w:val="000000"/>
                <w:sz w:val="17"/>
              </w:rPr>
              <w:t>Implicit/parametric flow distribution geometry, topology-assisted reinforcement</w:t>
            </w:r>
          </w:p>
        </w:tc>
        <w:tc>
          <w:tcPr>
            <w:tcW w:type="dxa" w:w="2460"/>
            <w:tcMar>
              <w:top w:w="80" w:type="dxa"/>
              <w:start w:w="120" w:type="dxa"/>
              <w:bottom w:w="80" w:type="dxa"/>
              <w:end w:w="120" w:type="dxa"/>
            </w:tcMar>
          </w:tcPr>
          <w:p>
            <w:pPr>
              <w:spacing w:after="0"/>
            </w:pPr>
            <w:r>
              <w:rPr>
                <w:rFonts w:ascii="Calibri" w:hAnsi="Calibri"/>
                <w:color w:val="000000"/>
                <w:sz w:val="17"/>
              </w:rPr>
              <w:t>STEP, CFD/FEA cases</w:t>
            </w:r>
          </w:p>
        </w:tc>
      </w:tr>
      <w:tr>
        <w:trPr>
          <w:cantSplit w:val="true"/>
        </w:trPr>
        <w:tc>
          <w:tcPr>
            <w:tcW w:type="dxa" w:w="1700"/>
            <w:tcMar>
              <w:top w:w="80" w:type="dxa"/>
              <w:start w:w="120" w:type="dxa"/>
              <w:bottom w:w="80" w:type="dxa"/>
              <w:end w:w="120" w:type="dxa"/>
            </w:tcMar>
          </w:tcPr>
          <w:p>
            <w:pPr>
              <w:spacing w:after="0"/>
            </w:pPr>
            <w:r>
              <w:rPr>
                <w:rFonts w:ascii="Calibri" w:hAnsi="Calibri"/>
                <w:color w:val="000000"/>
                <w:sz w:val="17"/>
              </w:rPr>
              <w:t>Mounts and interfaces</w:t>
            </w:r>
          </w:p>
        </w:tc>
        <w:tc>
          <w:tcPr>
            <w:tcW w:type="dxa" w:w="5200"/>
            <w:tcMar>
              <w:top w:w="80" w:type="dxa"/>
              <w:start w:w="120" w:type="dxa"/>
              <w:bottom w:w="80" w:type="dxa"/>
              <w:end w:w="120" w:type="dxa"/>
            </w:tcMar>
          </w:tcPr>
          <w:p>
            <w:pPr>
              <w:spacing w:after="0"/>
            </w:pPr>
            <w:r>
              <w:rPr>
                <w:rFonts w:ascii="Calibri" w:hAnsi="Calibri"/>
                <w:color w:val="000000"/>
                <w:sz w:val="17"/>
              </w:rPr>
              <w:t>Envelope-aware brackets, flanges, seals, fasteners, instrument ports</w:t>
            </w:r>
          </w:p>
        </w:tc>
        <w:tc>
          <w:tcPr>
            <w:tcW w:type="dxa" w:w="2460"/>
            <w:tcMar>
              <w:top w:w="80" w:type="dxa"/>
              <w:start w:w="120" w:type="dxa"/>
              <w:bottom w:w="80" w:type="dxa"/>
              <w:end w:w="120" w:type="dxa"/>
            </w:tcMar>
          </w:tcPr>
          <w:p>
            <w:pPr>
              <w:spacing w:after="0"/>
            </w:pPr>
            <w:r>
              <w:rPr>
                <w:rFonts w:ascii="Calibri" w:hAnsi="Calibri"/>
                <w:color w:val="000000"/>
                <w:sz w:val="17"/>
              </w:rPr>
              <w:t>STEP, Nastran/Abaqus structural model</w:t>
            </w:r>
          </w:p>
        </w:tc>
      </w:tr>
    </w:tbl>
    <w:p>
      <w:pPr>
        <w:spacing w:before="0" w:after="40" w:line="240" w:lineRule="auto"/>
      </w:pPr>
      <w:r>
        <w:rPr>
          <w:rFonts w:ascii="Calibri" w:hAnsi="Calibri"/>
          <w:sz w:val="2"/>
        </w:rPr>
        <w:t xml:space="preserve"> </w:t>
      </w:r>
    </w:p>
    <w:p>
      <w:pPr>
        <w:pStyle w:val="Heading2"/>
      </w:pPr>
      <w:r>
        <w:t>7.1 Evidence-Bound CAD Feature Graph</w:t>
      </w:r>
    </w:p>
    <w:p>
      <w:r>
        <w:t>Every CAD feature should carry metadata. For example, a throat radius feature should know the requirement it satisfies, the solver equation that produced it, the material and wall-temperature limit it must respect, the analysis cases that evaluated it, and the reviewer who accepted or rejected it. This feature-level traceability is one of the strongest unique COSMOS differentiators.</w:t>
      </w:r>
    </w:p>
    <w:tbl>
      <w:tblPr>
        <w:tblStyle w:val="TableGrid"/>
        <w:tblW w:type="dxa" w:w="9360"/>
        <w:tblLook w:firstColumn="1" w:firstRow="1" w:lastColumn="0" w:lastRow="0" w:noHBand="0" w:noVBand="1" w:val="04A0"/>
        <w:tblInd w:w="120" w:type="dxa"/>
        <w:tblLayout w:type="fixed"/>
      </w:tblPr>
      <w:tblGrid>
        <w:gridCol w:w="9360"/>
      </w:tblGrid>
      <w:tr>
        <w:trPr>
          <w:cantSplit w:val="true"/>
        </w:trPr>
        <w:tc>
          <w:tcPr>
            <w:tcW w:type="dxa" w:w="9360"/>
            <w:vAlign w:val="center"/>
            <w:tcMar>
              <w:top w:w="80" w:type="dxa"/>
              <w:start w:w="120" w:type="dxa"/>
              <w:bottom w:w="80" w:type="dxa"/>
              <w:end w:w="120" w:type="dxa"/>
            </w:tcMar>
            <w:shd w:fill="FBFCFE"/>
          </w:tcPr>
          <w:p>
            <w:pPr>
              <w:spacing w:after="0"/>
            </w:pPr>
            <w:r>
              <w:rPr>
                <w:rFonts w:ascii="Courier New" w:hAnsi="Courier New"/>
                <w:color w:val="0B2545"/>
                <w:sz w:val="17"/>
              </w:rPr>
              <w:t>CADFeature(</w:t>
              <w:br/>
              <w:t xml:space="preserve">  feature_id='nozzle.throat.blend.radius',</w:t>
              <w:br/>
              <w:t xml:space="preserve">  generated_by='geometry.nozzle.v0_2',</w:t>
              <w:br/>
              <w:t xml:space="preserve">  source_requirements=['REQ-THRUST-001', 'REQ-PC-001'],</w:t>
              <w:br/>
              <w:t xml:space="preserve">  solver_outputs=['SOL-GASDYN-THROAT-AREA-004'],</w:t>
              <w:br/>
              <w:t xml:space="preserve">  evidence=['EQ-CHOKED-FLOW-001', 'MAT-INCONEL718-ALLOWABLE-003'],</w:t>
              <w:br/>
              <w:t xml:space="preserve">  analysis_cases=['FEA-THERMAL-021', 'CFD-NOZZLE-009'],</w:t>
              <w:br/>
              <w:t xml:space="preserve">  review_status='human_review_required'</w:t>
              <w:br/>
              <w:t>)</w:t>
            </w:r>
          </w:p>
        </w:tc>
      </w:tr>
    </w:tbl>
    <w:p>
      <w:pPr>
        <w:spacing w:before="0" w:after="40" w:line="240" w:lineRule="auto"/>
      </w:pPr>
      <w:r>
        <w:rPr>
          <w:rFonts w:ascii="Calibri" w:hAnsi="Calibri"/>
          <w:sz w:val="2"/>
        </w:rPr>
        <w:t xml:space="preserve"> </w:t>
      </w:r>
    </w:p>
    <w:p>
      <w:pPr>
        <w:pStyle w:val="Heading1"/>
      </w:pPr>
      <w:r>
        <w:t>8. Topology and Shape Optimization</w:t>
      </w:r>
    </w:p>
    <w:p>
      <w:r>
        <w:t>Topology optimization shall be implemented as a candidate-generation and design-improvement layer, not as a direct manufacturing authority. It is most valuable for support structures, jackets, manifolds, mounts, brackets, injector structural supports, and additive-manufacturing lightweighting. Nozzle contours, cooling-channel paths, throat blends, and wall thickness should primarily use parametric or shape optimization because manufacturability and fluid/thermal constraints are tightly coupled.</w:t>
      </w:r>
    </w:p>
    <w:tbl>
      <w:tblPr>
        <w:tblStyle w:val="TableGrid"/>
        <w:tblW w:type="dxa" w:w="9360"/>
        <w:jc w:val="left"/>
        <w:tblLook w:firstColumn="1" w:firstRow="1" w:lastColumn="0" w:lastRow="0" w:noHBand="0" w:noVBand="1" w:val="04A0"/>
        <w:tblInd w:w="120" w:type="dxa"/>
        <w:tblLayout w:type="fixed"/>
      </w:tblPr>
      <w:tblGrid>
        <w:gridCol w:w="1850"/>
        <w:gridCol w:w="4750"/>
        <w:gridCol w:w="2760"/>
      </w:tblGrid>
      <w:tr>
        <w:trPr>
          <w:tblHeader w:val="true"/>
          <w:cantSplit w:val="true"/>
        </w:trPr>
        <w:tc>
          <w:tcPr>
            <w:tcW w:type="dxa" w:w="1850"/>
            <w:vAlign w:val="center"/>
            <w:tcMar>
              <w:top w:w="80" w:type="dxa"/>
              <w:start w:w="120" w:type="dxa"/>
              <w:bottom w:w="80" w:type="dxa"/>
              <w:end w:w="120" w:type="dxa"/>
            </w:tcMar>
            <w:shd w:fill="F2F4F7"/>
          </w:tcPr>
          <w:p>
            <w:pPr>
              <w:spacing w:after="0"/>
            </w:pPr>
            <w:r>
              <w:rPr>
                <w:rFonts w:ascii="Calibri" w:hAnsi="Calibri"/>
                <w:b/>
                <w:color w:val="0B2545"/>
                <w:sz w:val="18"/>
              </w:rPr>
              <w:t>Optimization Type</w:t>
            </w:r>
          </w:p>
        </w:tc>
        <w:tc>
          <w:tcPr>
            <w:tcW w:type="dxa" w:w="4750"/>
            <w:vAlign w:val="center"/>
            <w:tcMar>
              <w:top w:w="80" w:type="dxa"/>
              <w:start w:w="120" w:type="dxa"/>
              <w:bottom w:w="80" w:type="dxa"/>
              <w:end w:w="120" w:type="dxa"/>
            </w:tcMar>
            <w:shd w:fill="F2F4F7"/>
          </w:tcPr>
          <w:p>
            <w:pPr>
              <w:spacing w:after="0"/>
            </w:pPr>
            <w:r>
              <w:rPr>
                <w:rFonts w:ascii="Calibri" w:hAnsi="Calibri"/>
                <w:b/>
                <w:color w:val="0B2545"/>
                <w:sz w:val="18"/>
              </w:rPr>
              <w:t>Best Use</w:t>
            </w:r>
          </w:p>
        </w:tc>
        <w:tc>
          <w:tcPr>
            <w:tcW w:type="dxa" w:w="2760"/>
            <w:vAlign w:val="center"/>
            <w:tcMar>
              <w:top w:w="80" w:type="dxa"/>
              <w:start w:w="120" w:type="dxa"/>
              <w:bottom w:w="80" w:type="dxa"/>
              <w:end w:w="120" w:type="dxa"/>
            </w:tcMar>
            <w:shd w:fill="F2F4F7"/>
          </w:tcPr>
          <w:p>
            <w:pPr>
              <w:spacing w:after="0"/>
            </w:pPr>
            <w:r>
              <w:rPr>
                <w:rFonts w:ascii="Calibri" w:hAnsi="Calibri"/>
                <w:b/>
                <w:color w:val="0B2545"/>
                <w:sz w:val="18"/>
              </w:rPr>
              <w:t>Release Rule</w:t>
            </w:r>
          </w:p>
        </w:tc>
      </w:tr>
      <w:tr>
        <w:trPr>
          <w:cantSplit w:val="true"/>
        </w:trPr>
        <w:tc>
          <w:tcPr>
            <w:tcW w:type="dxa" w:w="1850"/>
            <w:tcMar>
              <w:top w:w="80" w:type="dxa"/>
              <w:start w:w="120" w:type="dxa"/>
              <w:bottom w:w="80" w:type="dxa"/>
              <w:end w:w="120" w:type="dxa"/>
            </w:tcMar>
          </w:tcPr>
          <w:p>
            <w:pPr>
              <w:spacing w:after="0"/>
            </w:pPr>
            <w:r>
              <w:rPr>
                <w:rFonts w:ascii="Calibri" w:hAnsi="Calibri"/>
                <w:color w:val="000000"/>
                <w:sz w:val="18"/>
              </w:rPr>
              <w:t>Topology optimization</w:t>
            </w:r>
          </w:p>
        </w:tc>
        <w:tc>
          <w:tcPr>
            <w:tcW w:type="dxa" w:w="4750"/>
            <w:tcMar>
              <w:top w:w="80" w:type="dxa"/>
              <w:start w:w="120" w:type="dxa"/>
              <w:bottom w:w="80" w:type="dxa"/>
              <w:end w:w="120" w:type="dxa"/>
            </w:tcMar>
          </w:tcPr>
          <w:p>
            <w:pPr>
              <w:spacing w:after="0"/>
            </w:pPr>
            <w:r>
              <w:rPr>
                <w:rFonts w:ascii="Calibri" w:hAnsi="Calibri"/>
                <w:color w:val="000000"/>
                <w:sz w:val="18"/>
              </w:rPr>
              <w:t>Mass reduction, stiffness, thermal paths, structural supports, manifolds, AM lattices</w:t>
            </w:r>
          </w:p>
        </w:tc>
        <w:tc>
          <w:tcPr>
            <w:tcW w:type="dxa" w:w="2760"/>
            <w:tcMar>
              <w:top w:w="80" w:type="dxa"/>
              <w:start w:w="120" w:type="dxa"/>
              <w:bottom w:w="80" w:type="dxa"/>
              <w:end w:w="120" w:type="dxa"/>
            </w:tcMar>
          </w:tcPr>
          <w:p>
            <w:pPr>
              <w:spacing w:after="0"/>
            </w:pPr>
            <w:r>
              <w:rPr>
                <w:rFonts w:ascii="Calibri" w:hAnsi="Calibri"/>
                <w:color w:val="000000"/>
                <w:sz w:val="18"/>
              </w:rPr>
              <w:t>Must be reconstructed into clean CAD and reanalyzed</w:t>
            </w:r>
          </w:p>
        </w:tc>
      </w:tr>
      <w:tr>
        <w:trPr>
          <w:cantSplit w:val="true"/>
        </w:trPr>
        <w:tc>
          <w:tcPr>
            <w:tcW w:type="dxa" w:w="1850"/>
            <w:tcMar>
              <w:top w:w="80" w:type="dxa"/>
              <w:start w:w="120" w:type="dxa"/>
              <w:bottom w:w="80" w:type="dxa"/>
              <w:end w:w="120" w:type="dxa"/>
            </w:tcMar>
          </w:tcPr>
          <w:p>
            <w:pPr>
              <w:spacing w:after="0"/>
            </w:pPr>
            <w:r>
              <w:rPr>
                <w:rFonts w:ascii="Calibri" w:hAnsi="Calibri"/>
                <w:color w:val="000000"/>
                <w:sz w:val="18"/>
              </w:rPr>
              <w:t>Shape optimization</w:t>
            </w:r>
          </w:p>
        </w:tc>
        <w:tc>
          <w:tcPr>
            <w:tcW w:type="dxa" w:w="4750"/>
            <w:tcMar>
              <w:top w:w="80" w:type="dxa"/>
              <w:start w:w="120" w:type="dxa"/>
              <w:bottom w:w="80" w:type="dxa"/>
              <w:end w:w="120" w:type="dxa"/>
            </w:tcMar>
          </w:tcPr>
          <w:p>
            <w:pPr>
              <w:spacing w:after="0"/>
            </w:pPr>
            <w:r>
              <w:rPr>
                <w:rFonts w:ascii="Calibri" w:hAnsi="Calibri"/>
                <w:color w:val="000000"/>
                <w:sz w:val="18"/>
              </w:rPr>
              <w:t>Nozzle contour, throat blend, injector passages, channel dimensions</w:t>
            </w:r>
          </w:p>
        </w:tc>
        <w:tc>
          <w:tcPr>
            <w:tcW w:type="dxa" w:w="2760"/>
            <w:tcMar>
              <w:top w:w="80" w:type="dxa"/>
              <w:start w:w="120" w:type="dxa"/>
              <w:bottom w:w="80" w:type="dxa"/>
              <w:end w:w="120" w:type="dxa"/>
            </w:tcMar>
          </w:tcPr>
          <w:p>
            <w:pPr>
              <w:spacing w:after="0"/>
            </w:pPr>
            <w:r>
              <w:rPr>
                <w:rFonts w:ascii="Calibri" w:hAnsi="Calibri"/>
                <w:color w:val="000000"/>
                <w:sz w:val="18"/>
              </w:rPr>
              <w:t>Must preserve constraints and regenerate parametric geometry</w:t>
            </w:r>
          </w:p>
        </w:tc>
      </w:tr>
      <w:tr>
        <w:trPr>
          <w:cantSplit w:val="true"/>
        </w:trPr>
        <w:tc>
          <w:tcPr>
            <w:tcW w:type="dxa" w:w="1850"/>
            <w:tcMar>
              <w:top w:w="80" w:type="dxa"/>
              <w:start w:w="120" w:type="dxa"/>
              <w:bottom w:w="80" w:type="dxa"/>
              <w:end w:w="120" w:type="dxa"/>
            </w:tcMar>
          </w:tcPr>
          <w:p>
            <w:pPr>
              <w:spacing w:after="0"/>
            </w:pPr>
            <w:r>
              <w:rPr>
                <w:rFonts w:ascii="Calibri" w:hAnsi="Calibri"/>
                <w:color w:val="000000"/>
                <w:sz w:val="18"/>
              </w:rPr>
              <w:t>Parametric optimization</w:t>
            </w:r>
          </w:p>
        </w:tc>
        <w:tc>
          <w:tcPr>
            <w:tcW w:type="dxa" w:w="4750"/>
            <w:tcMar>
              <w:top w:w="80" w:type="dxa"/>
              <w:start w:w="120" w:type="dxa"/>
              <w:bottom w:w="80" w:type="dxa"/>
              <w:end w:w="120" w:type="dxa"/>
            </w:tcMar>
          </w:tcPr>
          <w:p>
            <w:pPr>
              <w:spacing w:after="0"/>
            </w:pPr>
            <w:r>
              <w:rPr>
                <w:rFonts w:ascii="Calibri" w:hAnsi="Calibri"/>
                <w:color w:val="000000"/>
                <w:sz w:val="18"/>
              </w:rPr>
              <w:t>Mixture ratio, expansion ratio, chamber length, channel count, wall thickness</w:t>
            </w:r>
          </w:p>
        </w:tc>
        <w:tc>
          <w:tcPr>
            <w:tcW w:type="dxa" w:w="2760"/>
            <w:tcMar>
              <w:top w:w="80" w:type="dxa"/>
              <w:start w:w="120" w:type="dxa"/>
              <w:bottom w:w="80" w:type="dxa"/>
              <w:end w:w="120" w:type="dxa"/>
            </w:tcMar>
          </w:tcPr>
          <w:p>
            <w:pPr>
              <w:spacing w:after="0"/>
            </w:pPr>
            <w:r>
              <w:rPr>
                <w:rFonts w:ascii="Calibri" w:hAnsi="Calibri"/>
                <w:color w:val="000000"/>
                <w:sz w:val="18"/>
              </w:rPr>
              <w:t>Runs inside design-state/MDO workflow</w:t>
            </w:r>
          </w:p>
        </w:tc>
      </w:tr>
      <w:tr>
        <w:trPr>
          <w:cantSplit w:val="true"/>
        </w:trPr>
        <w:tc>
          <w:tcPr>
            <w:tcW w:type="dxa" w:w="1850"/>
            <w:tcMar>
              <w:top w:w="80" w:type="dxa"/>
              <w:start w:w="120" w:type="dxa"/>
              <w:bottom w:w="80" w:type="dxa"/>
              <w:end w:w="120" w:type="dxa"/>
            </w:tcMar>
          </w:tcPr>
          <w:p>
            <w:pPr>
              <w:spacing w:after="0"/>
            </w:pPr>
            <w:r>
              <w:rPr>
                <w:rFonts w:ascii="Calibri" w:hAnsi="Calibri"/>
                <w:color w:val="000000"/>
                <w:sz w:val="18"/>
              </w:rPr>
              <w:t>Lattice/implicit optimization</w:t>
            </w:r>
          </w:p>
        </w:tc>
        <w:tc>
          <w:tcPr>
            <w:tcW w:type="dxa" w:w="4750"/>
            <w:tcMar>
              <w:top w:w="80" w:type="dxa"/>
              <w:start w:w="120" w:type="dxa"/>
              <w:bottom w:w="80" w:type="dxa"/>
              <w:end w:w="120" w:type="dxa"/>
            </w:tcMar>
          </w:tcPr>
          <w:p>
            <w:pPr>
              <w:spacing w:after="0"/>
            </w:pPr>
            <w:r>
              <w:rPr>
                <w:rFonts w:ascii="Calibri" w:hAnsi="Calibri"/>
                <w:color w:val="000000"/>
                <w:sz w:val="18"/>
              </w:rPr>
              <w:t>AM thermal/structural tailoring, jacket reinforcement, support skins</w:t>
            </w:r>
          </w:p>
        </w:tc>
        <w:tc>
          <w:tcPr>
            <w:tcW w:type="dxa" w:w="2760"/>
            <w:tcMar>
              <w:top w:w="80" w:type="dxa"/>
              <w:start w:w="120" w:type="dxa"/>
              <w:bottom w:w="80" w:type="dxa"/>
              <w:end w:w="120" w:type="dxa"/>
            </w:tcMar>
          </w:tcPr>
          <w:p>
            <w:pPr>
              <w:spacing w:after="0"/>
            </w:pPr>
            <w:r>
              <w:rPr>
                <w:rFonts w:ascii="Calibri" w:hAnsi="Calibri"/>
                <w:color w:val="000000"/>
                <w:sz w:val="18"/>
              </w:rPr>
              <w:t>Requires process-specific manufacturability checks</w:t>
            </w:r>
          </w:p>
        </w:tc>
      </w:tr>
      <w:tr>
        <w:trPr>
          <w:cantSplit w:val="true"/>
        </w:trPr>
        <w:tc>
          <w:tcPr>
            <w:tcW w:type="dxa" w:w="1850"/>
            <w:tcMar>
              <w:top w:w="80" w:type="dxa"/>
              <w:start w:w="120" w:type="dxa"/>
              <w:bottom w:w="80" w:type="dxa"/>
              <w:end w:w="120" w:type="dxa"/>
            </w:tcMar>
          </w:tcPr>
          <w:p>
            <w:pPr>
              <w:spacing w:after="0"/>
            </w:pPr>
            <w:r>
              <w:rPr>
                <w:rFonts w:ascii="Calibri" w:hAnsi="Calibri"/>
                <w:color w:val="000000"/>
                <w:sz w:val="18"/>
              </w:rPr>
              <w:t>Robust optimization</w:t>
            </w:r>
          </w:p>
        </w:tc>
        <w:tc>
          <w:tcPr>
            <w:tcW w:type="dxa" w:w="4750"/>
            <w:tcMar>
              <w:top w:w="80" w:type="dxa"/>
              <w:start w:w="120" w:type="dxa"/>
              <w:bottom w:w="80" w:type="dxa"/>
              <w:end w:w="120" w:type="dxa"/>
            </w:tcMar>
          </w:tcPr>
          <w:p>
            <w:pPr>
              <w:spacing w:after="0"/>
            </w:pPr>
            <w:r>
              <w:rPr>
                <w:rFonts w:ascii="Calibri" w:hAnsi="Calibri"/>
                <w:color w:val="000000"/>
                <w:sz w:val="18"/>
              </w:rPr>
              <w:t>Uncertainty margins for material, thermal, pressure, manufacturing tolerance</w:t>
            </w:r>
          </w:p>
        </w:tc>
        <w:tc>
          <w:tcPr>
            <w:tcW w:type="dxa" w:w="2760"/>
            <w:tcMar>
              <w:top w:w="80" w:type="dxa"/>
              <w:start w:w="120" w:type="dxa"/>
              <w:bottom w:w="80" w:type="dxa"/>
              <w:end w:w="120" w:type="dxa"/>
            </w:tcMar>
          </w:tcPr>
          <w:p>
            <w:pPr>
              <w:spacing w:after="0"/>
            </w:pPr>
            <w:r>
              <w:rPr>
                <w:rFonts w:ascii="Calibri" w:hAnsi="Calibri"/>
                <w:color w:val="000000"/>
                <w:sz w:val="18"/>
              </w:rPr>
              <w:t>Must report sensitivity and confidence intervals</w:t>
            </w:r>
          </w:p>
        </w:tc>
      </w:tr>
    </w:tbl>
    <w:p>
      <w:pPr>
        <w:spacing w:before="0" w:after="40" w:line="240" w:lineRule="auto"/>
      </w:pPr>
      <w:r>
        <w:rPr>
          <w:rFonts w:ascii="Calibri" w:hAnsi="Calibri"/>
          <w:sz w:val="2"/>
        </w:rPr>
        <w:t xml:space="preserve"> </w:t>
      </w:r>
    </w:p>
    <w:p>
      <w:pPr>
        <w:pStyle w:val="Heading2"/>
      </w:pPr>
      <w:r>
        <w:t>8.1 Topology Loop</w:t>
      </w:r>
    </w:p>
    <w:p>
      <w:pPr>
        <w:pStyle w:val="ListNumber"/>
      </w:pPr>
      <w:r>
        <w:t>Generate conservative parametric baseline geometry.</w:t>
      </w:r>
    </w:p>
    <w:p>
      <w:pPr>
        <w:pStyle w:val="ListNumber"/>
      </w:pPr>
      <w:r>
        <w:t>Define preserve regions, loads, boundary conditions, manufacturing constraints, thermal paths, and no-go volumes.</w:t>
      </w:r>
    </w:p>
    <w:p>
      <w:pPr>
        <w:pStyle w:val="ListNumber"/>
      </w:pPr>
      <w:r>
        <w:t>Run topology or shape optimization with explicit objective and constraints.</w:t>
      </w:r>
    </w:p>
    <w:p>
      <w:pPr>
        <w:pStyle w:val="ListNumber"/>
      </w:pPr>
      <w:r>
        <w:t>Convert raw output into clean parametric or implicit CAD.</w:t>
      </w:r>
    </w:p>
    <w:p>
      <w:pPr>
        <w:pStyle w:val="ListNumber"/>
      </w:pPr>
      <w:r>
        <w:t>Run geometry checks, wall-thickness checks, AM overhang/support checks, and mesh-quality checks.</w:t>
      </w:r>
    </w:p>
    <w:p>
      <w:pPr>
        <w:pStyle w:val="ListNumber"/>
      </w:pPr>
      <w:r>
        <w:t>Re-run external CFD/FEA/thermal analysis.</w:t>
      </w:r>
    </w:p>
    <w:p>
      <w:pPr>
        <w:pStyle w:val="ListNumber"/>
      </w:pPr>
      <w:r>
        <w:t>Compare optimized result against baseline in COSMOS.</w:t>
      </w:r>
    </w:p>
    <w:p>
      <w:pPr>
        <w:pStyle w:val="ListNumber"/>
      </w:pPr>
      <w:r>
        <w:t>Require human review before release.</w:t>
      </w:r>
    </w:p>
    <w:p>
      <w:pPr>
        <w:pStyle w:val="Heading1"/>
      </w:pPr>
      <w:r>
        <w:t>9. External Simulation and Dynamic Validation</w:t>
      </w:r>
    </w:p>
    <w:p>
      <w:r>
        <w:t>COSMOS should be solver-neutral and export complete analysis packages. External software results should be uploaded back into COSMOS for side-by-side comparison against internal predictions. This secondary review loop is essential for credibility before any 3D-printing release.</w:t>
      </w:r>
    </w:p>
    <w:tbl>
      <w:tblPr>
        <w:tblStyle w:val="TableGrid"/>
        <w:tblW w:type="dxa" w:w="9360"/>
        <w:jc w:val="left"/>
        <w:tblLook w:firstColumn="1" w:firstRow="1" w:lastColumn="0" w:lastRow="0" w:noHBand="0" w:noVBand="1" w:val="04A0"/>
        <w:tblInd w:w="120" w:type="dxa"/>
        <w:tblLayout w:type="fixed"/>
      </w:tblPr>
      <w:tblGrid>
        <w:gridCol w:w="1750"/>
        <w:gridCol w:w="3300"/>
        <w:gridCol w:w="4310"/>
      </w:tblGrid>
      <w:tr>
        <w:trPr>
          <w:tblHeader w:val="true"/>
          <w:cantSplit w:val="true"/>
        </w:trPr>
        <w:tc>
          <w:tcPr>
            <w:tcW w:type="dxa" w:w="1750"/>
            <w:vAlign w:val="center"/>
            <w:tcMar>
              <w:top w:w="80" w:type="dxa"/>
              <w:start w:w="120" w:type="dxa"/>
              <w:bottom w:w="80" w:type="dxa"/>
              <w:end w:w="120" w:type="dxa"/>
            </w:tcMar>
            <w:shd w:fill="F2F4F7"/>
          </w:tcPr>
          <w:p>
            <w:pPr>
              <w:spacing w:after="0"/>
            </w:pPr>
            <w:r>
              <w:rPr>
                <w:rFonts w:ascii="Calibri" w:hAnsi="Calibri"/>
                <w:b/>
                <w:color w:val="0B2545"/>
                <w:sz w:val="17"/>
              </w:rPr>
              <w:t>Validation Domain</w:t>
            </w:r>
          </w:p>
        </w:tc>
        <w:tc>
          <w:tcPr>
            <w:tcW w:type="dxa" w:w="3300"/>
            <w:vAlign w:val="center"/>
            <w:tcMar>
              <w:top w:w="80" w:type="dxa"/>
              <w:start w:w="120" w:type="dxa"/>
              <w:bottom w:w="80" w:type="dxa"/>
              <w:end w:w="120" w:type="dxa"/>
            </w:tcMar>
            <w:shd w:fill="F2F4F7"/>
          </w:tcPr>
          <w:p>
            <w:pPr>
              <w:spacing w:after="0"/>
            </w:pPr>
            <w:r>
              <w:rPr>
                <w:rFonts w:ascii="Calibri" w:hAnsi="Calibri"/>
                <w:b/>
                <w:color w:val="0B2545"/>
                <w:sz w:val="17"/>
              </w:rPr>
              <w:t>Recommended Tools</w:t>
            </w:r>
          </w:p>
        </w:tc>
        <w:tc>
          <w:tcPr>
            <w:tcW w:type="dxa" w:w="4310"/>
            <w:vAlign w:val="center"/>
            <w:tcMar>
              <w:top w:w="80" w:type="dxa"/>
              <w:start w:w="120" w:type="dxa"/>
              <w:bottom w:w="80" w:type="dxa"/>
              <w:end w:w="120" w:type="dxa"/>
            </w:tcMar>
            <w:shd w:fill="F2F4F7"/>
          </w:tcPr>
          <w:p>
            <w:pPr>
              <w:spacing w:after="0"/>
            </w:pPr>
            <w:r>
              <w:rPr>
                <w:rFonts w:ascii="Calibri" w:hAnsi="Calibri"/>
                <w:b/>
                <w:color w:val="0B2545"/>
                <w:sz w:val="17"/>
              </w:rPr>
              <w:t>COSMOS Integration</w:t>
            </w:r>
          </w:p>
        </w:tc>
      </w:tr>
      <w:tr>
        <w:trPr>
          <w:cantSplit w:val="true"/>
        </w:trPr>
        <w:tc>
          <w:tcPr>
            <w:tcW w:type="dxa" w:w="1750"/>
            <w:tcMar>
              <w:top w:w="80" w:type="dxa"/>
              <w:start w:w="120" w:type="dxa"/>
              <w:bottom w:w="80" w:type="dxa"/>
              <w:end w:w="120" w:type="dxa"/>
            </w:tcMar>
          </w:tcPr>
          <w:p>
            <w:pPr>
              <w:spacing w:after="0"/>
            </w:pPr>
            <w:r>
              <w:rPr>
                <w:rFonts w:ascii="Calibri" w:hAnsi="Calibri"/>
                <w:color w:val="000000"/>
                <w:sz w:val="17"/>
              </w:rPr>
              <w:t>CAD and manufacturing review</w:t>
            </w:r>
          </w:p>
        </w:tc>
        <w:tc>
          <w:tcPr>
            <w:tcW w:type="dxa" w:w="3300"/>
            <w:tcMar>
              <w:top w:w="80" w:type="dxa"/>
              <w:start w:w="120" w:type="dxa"/>
              <w:bottom w:w="80" w:type="dxa"/>
              <w:end w:w="120" w:type="dxa"/>
            </w:tcMar>
          </w:tcPr>
          <w:p>
            <w:pPr>
              <w:spacing w:after="0"/>
            </w:pPr>
            <w:r>
              <w:rPr>
                <w:rFonts w:ascii="Calibri" w:hAnsi="Calibri"/>
                <w:color w:val="000000"/>
                <w:sz w:val="17"/>
              </w:rPr>
              <w:t>Siemens NX, FreeCAD, nTop, CAM systems</w:t>
            </w:r>
          </w:p>
        </w:tc>
        <w:tc>
          <w:tcPr>
            <w:tcW w:type="dxa" w:w="4310"/>
            <w:tcMar>
              <w:top w:w="80" w:type="dxa"/>
              <w:start w:w="120" w:type="dxa"/>
              <w:bottom w:w="80" w:type="dxa"/>
              <w:end w:w="120" w:type="dxa"/>
            </w:tcMar>
          </w:tcPr>
          <w:p>
            <w:pPr>
              <w:spacing w:after="0"/>
            </w:pPr>
            <w:r>
              <w:rPr>
                <w:rFonts w:ascii="Calibri" w:hAnsi="Calibri"/>
                <w:color w:val="000000"/>
                <w:sz w:val="17"/>
              </w:rPr>
              <w:t>STEP/Parasolid import/export, feature metadata, manufacturing notes</w:t>
            </w:r>
          </w:p>
        </w:tc>
      </w:tr>
      <w:tr>
        <w:trPr>
          <w:cantSplit w:val="true"/>
        </w:trPr>
        <w:tc>
          <w:tcPr>
            <w:tcW w:type="dxa" w:w="1750"/>
            <w:tcMar>
              <w:top w:w="80" w:type="dxa"/>
              <w:start w:w="120" w:type="dxa"/>
              <w:bottom w:w="80" w:type="dxa"/>
              <w:end w:w="120" w:type="dxa"/>
            </w:tcMar>
          </w:tcPr>
          <w:p>
            <w:pPr>
              <w:spacing w:after="0"/>
            </w:pPr>
            <w:r>
              <w:rPr>
                <w:rFonts w:ascii="Calibri" w:hAnsi="Calibri"/>
                <w:color w:val="000000"/>
                <w:sz w:val="17"/>
              </w:rPr>
              <w:t>CFD and combustion flow</w:t>
            </w:r>
          </w:p>
        </w:tc>
        <w:tc>
          <w:tcPr>
            <w:tcW w:type="dxa" w:w="3300"/>
            <w:tcMar>
              <w:top w:w="80" w:type="dxa"/>
              <w:start w:w="120" w:type="dxa"/>
              <w:bottom w:w="80" w:type="dxa"/>
              <w:end w:w="120" w:type="dxa"/>
            </w:tcMar>
          </w:tcPr>
          <w:p>
            <w:pPr>
              <w:spacing w:after="0"/>
            </w:pPr>
            <w:r>
              <w:rPr>
                <w:rFonts w:ascii="Calibri" w:hAnsi="Calibri"/>
                <w:color w:val="000000"/>
                <w:sz w:val="17"/>
              </w:rPr>
              <w:t>Ansys Fluent, OpenFOAM, STAR-CCM+, SU2</w:t>
            </w:r>
          </w:p>
        </w:tc>
        <w:tc>
          <w:tcPr>
            <w:tcW w:type="dxa" w:w="4310"/>
            <w:tcMar>
              <w:top w:w="80" w:type="dxa"/>
              <w:start w:w="120" w:type="dxa"/>
              <w:bottom w:w="80" w:type="dxa"/>
              <w:end w:w="120" w:type="dxa"/>
            </w:tcMar>
          </w:tcPr>
          <w:p>
            <w:pPr>
              <w:spacing w:after="0"/>
            </w:pPr>
            <w:r>
              <w:rPr>
                <w:rFonts w:ascii="Calibri" w:hAnsi="Calibri"/>
                <w:color w:val="000000"/>
                <w:sz w:val="17"/>
              </w:rPr>
              <w:t>Mesh, boundary conditions, residuals, fields, heat flux, pressure drop</w:t>
            </w:r>
          </w:p>
        </w:tc>
      </w:tr>
      <w:tr>
        <w:trPr>
          <w:cantSplit w:val="true"/>
        </w:trPr>
        <w:tc>
          <w:tcPr>
            <w:tcW w:type="dxa" w:w="1750"/>
            <w:tcMar>
              <w:top w:w="80" w:type="dxa"/>
              <w:start w:w="120" w:type="dxa"/>
              <w:bottom w:w="80" w:type="dxa"/>
              <w:end w:w="120" w:type="dxa"/>
            </w:tcMar>
          </w:tcPr>
          <w:p>
            <w:pPr>
              <w:spacing w:after="0"/>
            </w:pPr>
            <w:r>
              <w:rPr>
                <w:rFonts w:ascii="Calibri" w:hAnsi="Calibri"/>
                <w:color w:val="000000"/>
                <w:sz w:val="17"/>
              </w:rPr>
              <w:t>Structural FEA/FEM</w:t>
            </w:r>
          </w:p>
        </w:tc>
        <w:tc>
          <w:tcPr>
            <w:tcW w:type="dxa" w:w="3300"/>
            <w:tcMar>
              <w:top w:w="80" w:type="dxa"/>
              <w:start w:w="120" w:type="dxa"/>
              <w:bottom w:w="80" w:type="dxa"/>
              <w:end w:w="120" w:type="dxa"/>
            </w:tcMar>
          </w:tcPr>
          <w:p>
            <w:pPr>
              <w:spacing w:after="0"/>
            </w:pPr>
            <w:r>
              <w:rPr>
                <w:rFonts w:ascii="Calibri" w:hAnsi="Calibri"/>
                <w:color w:val="000000"/>
                <w:sz w:val="17"/>
              </w:rPr>
              <w:t>Ansys Mechanical/Workbench, MSC Nastran, Abaqus</w:t>
            </w:r>
          </w:p>
        </w:tc>
        <w:tc>
          <w:tcPr>
            <w:tcW w:type="dxa" w:w="4310"/>
            <w:tcMar>
              <w:top w:w="80" w:type="dxa"/>
              <w:start w:w="120" w:type="dxa"/>
              <w:bottom w:w="80" w:type="dxa"/>
              <w:end w:w="120" w:type="dxa"/>
            </w:tcMar>
          </w:tcPr>
          <w:p>
            <w:pPr>
              <w:spacing w:after="0"/>
            </w:pPr>
            <w:r>
              <w:rPr>
                <w:rFonts w:ascii="Calibri" w:hAnsi="Calibri"/>
                <w:color w:val="000000"/>
                <w:sz w:val="17"/>
              </w:rPr>
              <w:t>Loads, constraints, thermal maps, stress, strain, safety factor, modal data</w:t>
            </w:r>
          </w:p>
        </w:tc>
      </w:tr>
      <w:tr>
        <w:trPr>
          <w:cantSplit w:val="true"/>
        </w:trPr>
        <w:tc>
          <w:tcPr>
            <w:tcW w:type="dxa" w:w="1750"/>
            <w:tcMar>
              <w:top w:w="80" w:type="dxa"/>
              <w:start w:w="120" w:type="dxa"/>
              <w:bottom w:w="80" w:type="dxa"/>
              <w:end w:w="120" w:type="dxa"/>
            </w:tcMar>
          </w:tcPr>
          <w:p>
            <w:pPr>
              <w:spacing w:after="0"/>
            </w:pPr>
            <w:r>
              <w:rPr>
                <w:rFonts w:ascii="Calibri" w:hAnsi="Calibri"/>
                <w:color w:val="000000"/>
                <w:sz w:val="17"/>
              </w:rPr>
              <w:t>Explicit/transient dynamics</w:t>
            </w:r>
          </w:p>
        </w:tc>
        <w:tc>
          <w:tcPr>
            <w:tcW w:type="dxa" w:w="3300"/>
            <w:tcMar>
              <w:top w:w="80" w:type="dxa"/>
              <w:start w:w="120" w:type="dxa"/>
              <w:bottom w:w="80" w:type="dxa"/>
              <w:end w:w="120" w:type="dxa"/>
            </w:tcMar>
          </w:tcPr>
          <w:p>
            <w:pPr>
              <w:spacing w:after="0"/>
            </w:pPr>
            <w:r>
              <w:rPr>
                <w:rFonts w:ascii="Calibri" w:hAnsi="Calibri"/>
                <w:color w:val="000000"/>
                <w:sz w:val="17"/>
              </w:rPr>
              <w:t>LS-DYNA, Abaqus Explicit</w:t>
            </w:r>
          </w:p>
        </w:tc>
        <w:tc>
          <w:tcPr>
            <w:tcW w:type="dxa" w:w="4310"/>
            <w:tcMar>
              <w:top w:w="80" w:type="dxa"/>
              <w:start w:w="120" w:type="dxa"/>
              <w:bottom w:w="80" w:type="dxa"/>
              <w:end w:w="120" w:type="dxa"/>
            </w:tcMar>
          </w:tcPr>
          <w:p>
            <w:pPr>
              <w:spacing w:after="0"/>
            </w:pPr>
            <w:r>
              <w:rPr>
                <w:rFonts w:ascii="Calibri" w:hAnsi="Calibri"/>
                <w:color w:val="000000"/>
                <w:sz w:val="17"/>
              </w:rPr>
              <w:t>Shock, burst, impact, severe transient load cases</w:t>
            </w:r>
          </w:p>
        </w:tc>
      </w:tr>
      <w:tr>
        <w:trPr>
          <w:cantSplit w:val="true"/>
        </w:trPr>
        <w:tc>
          <w:tcPr>
            <w:tcW w:type="dxa" w:w="1750"/>
            <w:tcMar>
              <w:top w:w="80" w:type="dxa"/>
              <w:start w:w="120" w:type="dxa"/>
              <w:bottom w:w="80" w:type="dxa"/>
              <w:end w:w="120" w:type="dxa"/>
            </w:tcMar>
          </w:tcPr>
          <w:p>
            <w:pPr>
              <w:spacing w:after="0"/>
            </w:pPr>
            <w:r>
              <w:rPr>
                <w:rFonts w:ascii="Calibri" w:hAnsi="Calibri"/>
                <w:color w:val="000000"/>
                <w:sz w:val="17"/>
              </w:rPr>
              <w:t>Multibody dynamics</w:t>
            </w:r>
          </w:p>
        </w:tc>
        <w:tc>
          <w:tcPr>
            <w:tcW w:type="dxa" w:w="3300"/>
            <w:tcMar>
              <w:top w:w="80" w:type="dxa"/>
              <w:start w:w="120" w:type="dxa"/>
              <w:bottom w:w="80" w:type="dxa"/>
              <w:end w:w="120" w:type="dxa"/>
            </w:tcMar>
          </w:tcPr>
          <w:p>
            <w:pPr>
              <w:spacing w:after="0"/>
            </w:pPr>
            <w:r>
              <w:rPr>
                <w:rFonts w:ascii="Calibri" w:hAnsi="Calibri"/>
                <w:color w:val="000000"/>
                <w:sz w:val="17"/>
              </w:rPr>
              <w:t>MSC Adams, Simcenter 3D Motion</w:t>
            </w:r>
          </w:p>
        </w:tc>
        <w:tc>
          <w:tcPr>
            <w:tcW w:type="dxa" w:w="4310"/>
            <w:tcMar>
              <w:top w:w="80" w:type="dxa"/>
              <w:start w:w="120" w:type="dxa"/>
              <w:bottom w:w="80" w:type="dxa"/>
              <w:end w:w="120" w:type="dxa"/>
            </w:tcMar>
          </w:tcPr>
          <w:p>
            <w:pPr>
              <w:spacing w:after="0"/>
            </w:pPr>
            <w:r>
              <w:rPr>
                <w:rFonts w:ascii="Calibri" w:hAnsi="Calibri"/>
                <w:color w:val="000000"/>
                <w:sz w:val="17"/>
              </w:rPr>
              <w:t>Gimbal, actuator, valve, mechanism, mounting loads</w:t>
            </w:r>
          </w:p>
        </w:tc>
      </w:tr>
      <w:tr>
        <w:trPr>
          <w:cantSplit w:val="true"/>
        </w:trPr>
        <w:tc>
          <w:tcPr>
            <w:tcW w:type="dxa" w:w="1750"/>
            <w:tcMar>
              <w:top w:w="80" w:type="dxa"/>
              <w:start w:w="120" w:type="dxa"/>
              <w:bottom w:w="80" w:type="dxa"/>
              <w:end w:w="120" w:type="dxa"/>
            </w:tcMar>
          </w:tcPr>
          <w:p>
            <w:pPr>
              <w:spacing w:after="0"/>
            </w:pPr>
            <w:r>
              <w:rPr>
                <w:rFonts w:ascii="Calibri" w:hAnsi="Calibri"/>
                <w:color w:val="000000"/>
                <w:sz w:val="17"/>
              </w:rPr>
              <w:t>System dynamics</w:t>
            </w:r>
          </w:p>
        </w:tc>
        <w:tc>
          <w:tcPr>
            <w:tcW w:type="dxa" w:w="3300"/>
            <w:tcMar>
              <w:top w:w="80" w:type="dxa"/>
              <w:start w:w="120" w:type="dxa"/>
              <w:bottom w:w="80" w:type="dxa"/>
              <w:end w:w="120" w:type="dxa"/>
            </w:tcMar>
          </w:tcPr>
          <w:p>
            <w:pPr>
              <w:spacing w:after="0"/>
            </w:pPr>
            <w:r>
              <w:rPr>
                <w:rFonts w:ascii="Calibri" w:hAnsi="Calibri"/>
                <w:color w:val="000000"/>
                <w:sz w:val="17"/>
              </w:rPr>
              <w:t>MATLAB Simulink/Simscape, Dymola/Modelica</w:t>
            </w:r>
          </w:p>
        </w:tc>
        <w:tc>
          <w:tcPr>
            <w:tcW w:type="dxa" w:w="4310"/>
            <w:tcMar>
              <w:top w:w="80" w:type="dxa"/>
              <w:start w:w="120" w:type="dxa"/>
              <w:bottom w:w="80" w:type="dxa"/>
              <w:end w:w="120" w:type="dxa"/>
            </w:tcMar>
          </w:tcPr>
          <w:p>
            <w:pPr>
              <w:spacing w:after="0"/>
            </w:pPr>
            <w:r>
              <w:rPr>
                <w:rFonts w:ascii="Calibri" w:hAnsi="Calibri"/>
                <w:color w:val="000000"/>
                <w:sz w:val="17"/>
              </w:rPr>
              <w:t>Feed-system transients, pressurization, valve dynamics, control loops</w:t>
            </w:r>
          </w:p>
        </w:tc>
      </w:tr>
      <w:tr>
        <w:trPr>
          <w:cantSplit w:val="true"/>
        </w:trPr>
        <w:tc>
          <w:tcPr>
            <w:tcW w:type="dxa" w:w="1750"/>
            <w:tcMar>
              <w:top w:w="80" w:type="dxa"/>
              <w:start w:w="120" w:type="dxa"/>
              <w:bottom w:w="80" w:type="dxa"/>
              <w:end w:w="120" w:type="dxa"/>
            </w:tcMar>
          </w:tcPr>
          <w:p>
            <w:pPr>
              <w:spacing w:after="0"/>
            </w:pPr>
            <w:r>
              <w:rPr>
                <w:rFonts w:ascii="Calibri" w:hAnsi="Calibri"/>
                <w:color w:val="000000"/>
                <w:sz w:val="17"/>
              </w:rPr>
              <w:t>Optimization/UQ</w:t>
            </w:r>
          </w:p>
        </w:tc>
        <w:tc>
          <w:tcPr>
            <w:tcW w:type="dxa" w:w="3300"/>
            <w:tcMar>
              <w:top w:w="80" w:type="dxa"/>
              <w:start w:w="120" w:type="dxa"/>
              <w:bottom w:w="80" w:type="dxa"/>
              <w:end w:w="120" w:type="dxa"/>
            </w:tcMar>
          </w:tcPr>
          <w:p>
            <w:pPr>
              <w:spacing w:after="0"/>
            </w:pPr>
            <w:r>
              <w:rPr>
                <w:rFonts w:ascii="Calibri" w:hAnsi="Calibri"/>
                <w:color w:val="000000"/>
                <w:sz w:val="17"/>
              </w:rPr>
              <w:t>OpenMDAO, Dakota, optiSLang, modeFRONTIER</w:t>
            </w:r>
          </w:p>
        </w:tc>
        <w:tc>
          <w:tcPr>
            <w:tcW w:type="dxa" w:w="4310"/>
            <w:tcMar>
              <w:top w:w="80" w:type="dxa"/>
              <w:start w:w="120" w:type="dxa"/>
              <w:bottom w:w="80" w:type="dxa"/>
              <w:end w:w="120" w:type="dxa"/>
            </w:tcMar>
          </w:tcPr>
          <w:p>
            <w:pPr>
              <w:spacing w:after="0"/>
            </w:pPr>
            <w:r>
              <w:rPr>
                <w:rFonts w:ascii="Calibri" w:hAnsi="Calibri"/>
                <w:color w:val="000000"/>
                <w:sz w:val="17"/>
              </w:rPr>
              <w:t>MDO, sensitivity, uncertainty, design-space exploration</w:t>
            </w:r>
          </w:p>
        </w:tc>
      </w:tr>
    </w:tbl>
    <w:p>
      <w:pPr>
        <w:spacing w:before="0" w:after="40" w:line="240" w:lineRule="auto"/>
      </w:pPr>
      <w:r>
        <w:rPr>
          <w:rFonts w:ascii="Calibri" w:hAnsi="Calibri"/>
          <w:sz w:val="2"/>
        </w:rPr>
        <w:t xml:space="preserve"> </w:t>
      </w:r>
    </w:p>
    <w:p>
      <w:pPr>
        <w:pStyle w:val="Heading2"/>
      </w:pPr>
      <w:r>
        <w:t>9.1 Imported Result Package Requirements</w:t>
      </w:r>
    </w:p>
    <w:p>
      <w:pPr>
        <w:pStyle w:val="ListBullet"/>
      </w:pPr>
      <w:r>
        <w:t>External solver name, version, license environment, and date.</w:t>
      </w:r>
    </w:p>
    <w:p>
      <w:pPr>
        <w:pStyle w:val="ListBullet"/>
      </w:pPr>
      <w:r>
        <w:t>Geometry file checksum and design-state version.</w:t>
      </w:r>
    </w:p>
    <w:p>
      <w:pPr>
        <w:pStyle w:val="ListBullet"/>
      </w:pPr>
      <w:r>
        <w:t>Mesh count, mesh-quality metrics, units, coordinate system, and named selections.</w:t>
      </w:r>
    </w:p>
    <w:p>
      <w:pPr>
        <w:pStyle w:val="ListBullet"/>
      </w:pPr>
      <w:r>
        <w:t>Boundary conditions, material model, turbulence/combustion/thermal model, load case, and solver settings.</w:t>
      </w:r>
    </w:p>
    <w:p>
      <w:pPr>
        <w:pStyle w:val="ListBullet"/>
      </w:pPr>
      <w:r>
        <w:t>Residuals, convergence criteria, failed warnings, and reviewer notes.</w:t>
      </w:r>
    </w:p>
    <w:p>
      <w:pPr>
        <w:pStyle w:val="ListBullet"/>
      </w:pPr>
      <w:r>
        <w:t>Primary outputs: temperatures, pressures, stresses, deformation, modal frequencies, heat flux, pressure drop, margin.</w:t>
      </w:r>
    </w:p>
    <w:p>
      <w:pPr>
        <w:pStyle w:val="ListBullet"/>
      </w:pPr>
      <w:r>
        <w:t>Difference table comparing external results with COSMOS predictions.</w:t>
      </w:r>
    </w:p>
    <w:p>
      <w:pPr>
        <w:pStyle w:val="Heading2"/>
      </w:pPr>
      <w:r>
        <w:t>9.2 Dynamic Simulation Recommendation</w:t>
      </w:r>
    </w:p>
    <w:p>
      <w:r>
        <w:t>For dynamic simulation, COSMOS should start with system-level transients and mechanism dynamics before attempting high-fidelity transient combustion. Simulink/Simscape and Modelica/Dymola are strong for feed-system dynamics, pressurization, and controls. Adams or Simcenter Motion are strong for gimbals, valves, actuators, and moving assemblies. LS-DYNA or Abaqus Explicit should be reserved for severe transient structural events and nonlinear dynamics.</w:t>
      </w:r>
    </w:p>
    <w:p>
      <w:pPr>
        <w:pStyle w:val="Heading1"/>
      </w:pPr>
      <w:r>
        <w:t>10. UI/UX Architecture</w:t>
      </w:r>
    </w:p>
    <w:p>
      <w:r>
        <w:t>The UI should feel like a professional engineering workbench rather than a chatbot or calculator. The user should see requirements, evidence, geometry, solver status, external validation, and release readiness as one coherent digital thread.</w:t>
      </w:r>
    </w:p>
    <w:tbl>
      <w:tblPr>
        <w:tblStyle w:val="TableGrid"/>
        <w:tblW w:type="dxa" w:w="9360"/>
        <w:jc w:val="left"/>
        <w:tblLook w:firstColumn="1" w:firstRow="1" w:lastColumn="0" w:lastRow="0" w:noHBand="0" w:noVBand="1" w:val="04A0"/>
        <w:tblInd w:w="120" w:type="dxa"/>
        <w:tblLayout w:type="fixed"/>
      </w:tblPr>
      <w:tblGrid>
        <w:gridCol w:w="1600"/>
        <w:gridCol w:w="3500"/>
        <w:gridCol w:w="4260"/>
      </w:tblGrid>
      <w:tr>
        <w:trPr>
          <w:tblHeader w:val="true"/>
          <w:cantSplit w:val="true"/>
        </w:trPr>
        <w:tc>
          <w:tcPr>
            <w:tcW w:type="dxa" w:w="1600"/>
            <w:vAlign w:val="center"/>
            <w:tcMar>
              <w:top w:w="80" w:type="dxa"/>
              <w:start w:w="120" w:type="dxa"/>
              <w:bottom w:w="80" w:type="dxa"/>
              <w:end w:w="120" w:type="dxa"/>
            </w:tcMar>
            <w:shd w:fill="F2F4F7"/>
          </w:tcPr>
          <w:p>
            <w:pPr>
              <w:spacing w:after="0"/>
            </w:pPr>
            <w:r>
              <w:rPr>
                <w:rFonts w:ascii="Calibri" w:hAnsi="Calibri"/>
                <w:b/>
                <w:color w:val="0B2545"/>
                <w:sz w:val="17"/>
              </w:rPr>
              <w:t>Workspace</w:t>
            </w:r>
          </w:p>
        </w:tc>
        <w:tc>
          <w:tcPr>
            <w:tcW w:type="dxa" w:w="3500"/>
            <w:vAlign w:val="center"/>
            <w:tcMar>
              <w:top w:w="80" w:type="dxa"/>
              <w:start w:w="120" w:type="dxa"/>
              <w:bottom w:w="80" w:type="dxa"/>
              <w:end w:w="120" w:type="dxa"/>
            </w:tcMar>
            <w:shd w:fill="F2F4F7"/>
          </w:tcPr>
          <w:p>
            <w:pPr>
              <w:spacing w:after="0"/>
            </w:pPr>
            <w:r>
              <w:rPr>
                <w:rFonts w:ascii="Calibri" w:hAnsi="Calibri"/>
                <w:b/>
                <w:color w:val="0B2545"/>
                <w:sz w:val="17"/>
              </w:rPr>
              <w:t>Purpose</w:t>
            </w:r>
          </w:p>
        </w:tc>
        <w:tc>
          <w:tcPr>
            <w:tcW w:type="dxa" w:w="4260"/>
            <w:vAlign w:val="center"/>
            <w:tcMar>
              <w:top w:w="80" w:type="dxa"/>
              <w:start w:w="120" w:type="dxa"/>
              <w:bottom w:w="80" w:type="dxa"/>
              <w:end w:w="120" w:type="dxa"/>
            </w:tcMar>
            <w:shd w:fill="F2F4F7"/>
          </w:tcPr>
          <w:p>
            <w:pPr>
              <w:spacing w:after="0"/>
            </w:pPr>
            <w:r>
              <w:rPr>
                <w:rFonts w:ascii="Calibri" w:hAnsi="Calibri"/>
                <w:b/>
                <w:color w:val="0B2545"/>
                <w:sz w:val="17"/>
              </w:rPr>
              <w:t>Key UI Elements</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Dashboard</w:t>
            </w:r>
          </w:p>
        </w:tc>
        <w:tc>
          <w:tcPr>
            <w:tcW w:type="dxa" w:w="3500"/>
            <w:tcMar>
              <w:top w:w="80" w:type="dxa"/>
              <w:start w:w="120" w:type="dxa"/>
              <w:bottom w:w="80" w:type="dxa"/>
              <w:end w:w="120" w:type="dxa"/>
            </w:tcMar>
          </w:tcPr>
          <w:p>
            <w:pPr>
              <w:spacing w:after="0"/>
            </w:pPr>
            <w:r>
              <w:rPr>
                <w:rFonts w:ascii="Calibri" w:hAnsi="Calibri"/>
                <w:color w:val="000000"/>
                <w:sz w:val="17"/>
              </w:rPr>
              <w:t>Project overview and release readiness</w:t>
            </w:r>
          </w:p>
        </w:tc>
        <w:tc>
          <w:tcPr>
            <w:tcW w:type="dxa" w:w="4260"/>
            <w:tcMar>
              <w:top w:w="80" w:type="dxa"/>
              <w:start w:w="120" w:type="dxa"/>
              <w:bottom w:w="80" w:type="dxa"/>
              <w:end w:w="120" w:type="dxa"/>
            </w:tcMar>
          </w:tcPr>
          <w:p>
            <w:pPr>
              <w:spacing w:after="0"/>
            </w:pPr>
            <w:r>
              <w:rPr>
                <w:rFonts w:ascii="Calibri" w:hAnsi="Calibri"/>
                <w:color w:val="000000"/>
                <w:sz w:val="17"/>
              </w:rPr>
              <w:t>Design status, open risks, latest run, review passport</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Design Contract</w:t>
            </w:r>
          </w:p>
        </w:tc>
        <w:tc>
          <w:tcPr>
            <w:tcW w:type="dxa" w:w="3500"/>
            <w:tcMar>
              <w:top w:w="80" w:type="dxa"/>
              <w:start w:w="120" w:type="dxa"/>
              <w:bottom w:w="80" w:type="dxa"/>
              <w:end w:w="120" w:type="dxa"/>
            </w:tcMar>
          </w:tcPr>
          <w:p>
            <w:pPr>
              <w:spacing w:after="0"/>
            </w:pPr>
            <w:r>
              <w:rPr>
                <w:rFonts w:ascii="Calibri" w:hAnsi="Calibri"/>
                <w:color w:val="000000"/>
                <w:sz w:val="17"/>
              </w:rPr>
              <w:t>Requirements and constraints</w:t>
            </w:r>
          </w:p>
        </w:tc>
        <w:tc>
          <w:tcPr>
            <w:tcW w:type="dxa" w:w="4260"/>
            <w:tcMar>
              <w:top w:w="80" w:type="dxa"/>
              <w:start w:w="120" w:type="dxa"/>
              <w:bottom w:w="80" w:type="dxa"/>
              <w:end w:w="120" w:type="dxa"/>
            </w:tcMar>
          </w:tcPr>
          <w:p>
            <w:pPr>
              <w:spacing w:after="0"/>
            </w:pPr>
            <w:r>
              <w:rPr>
                <w:rFonts w:ascii="Calibri" w:hAnsi="Calibri"/>
                <w:color w:val="000000"/>
                <w:sz w:val="17"/>
              </w:rPr>
              <w:t>Validated forms, unit-aware inputs, requirement IDs</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Evidence Browser</w:t>
            </w:r>
          </w:p>
        </w:tc>
        <w:tc>
          <w:tcPr>
            <w:tcW w:type="dxa" w:w="3500"/>
            <w:tcMar>
              <w:top w:w="80" w:type="dxa"/>
              <w:start w:w="120" w:type="dxa"/>
              <w:bottom w:w="80" w:type="dxa"/>
              <w:end w:w="120" w:type="dxa"/>
            </w:tcMar>
          </w:tcPr>
          <w:p>
            <w:pPr>
              <w:spacing w:after="0"/>
            </w:pPr>
            <w:r>
              <w:rPr>
                <w:rFonts w:ascii="Calibri" w:hAnsi="Calibri"/>
                <w:color w:val="000000"/>
                <w:sz w:val="17"/>
              </w:rPr>
              <w:t>RAG and knowledge foundation</w:t>
            </w:r>
          </w:p>
        </w:tc>
        <w:tc>
          <w:tcPr>
            <w:tcW w:type="dxa" w:w="4260"/>
            <w:tcMar>
              <w:top w:w="80" w:type="dxa"/>
              <w:start w:w="120" w:type="dxa"/>
              <w:bottom w:w="80" w:type="dxa"/>
              <w:end w:w="120" w:type="dxa"/>
            </w:tcMar>
          </w:tcPr>
          <w:p>
            <w:pPr>
              <w:spacing w:after="0"/>
            </w:pPr>
            <w:r>
              <w:rPr>
                <w:rFonts w:ascii="Calibri" w:hAnsi="Calibri"/>
                <w:color w:val="000000"/>
                <w:sz w:val="17"/>
              </w:rPr>
              <w:t>Citations, equations, assumptions, validity ranges</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Sizing and Solvers</w:t>
            </w:r>
          </w:p>
        </w:tc>
        <w:tc>
          <w:tcPr>
            <w:tcW w:type="dxa" w:w="3500"/>
            <w:tcMar>
              <w:top w:w="80" w:type="dxa"/>
              <w:start w:w="120" w:type="dxa"/>
              <w:bottom w:w="80" w:type="dxa"/>
              <w:end w:w="120" w:type="dxa"/>
            </w:tcMar>
          </w:tcPr>
          <w:p>
            <w:pPr>
              <w:spacing w:after="0"/>
            </w:pPr>
            <w:r>
              <w:rPr>
                <w:rFonts w:ascii="Calibri" w:hAnsi="Calibri"/>
                <w:color w:val="000000"/>
                <w:sz w:val="17"/>
              </w:rPr>
              <w:t>Engineering computation</w:t>
            </w:r>
          </w:p>
        </w:tc>
        <w:tc>
          <w:tcPr>
            <w:tcW w:type="dxa" w:w="4260"/>
            <w:tcMar>
              <w:top w:w="80" w:type="dxa"/>
              <w:start w:w="120" w:type="dxa"/>
              <w:bottom w:w="80" w:type="dxa"/>
              <w:end w:w="120" w:type="dxa"/>
            </w:tcMar>
          </w:tcPr>
          <w:p>
            <w:pPr>
              <w:spacing w:after="0"/>
            </w:pPr>
            <w:r>
              <w:rPr>
                <w:rFonts w:ascii="Calibri" w:hAnsi="Calibri"/>
                <w:color w:val="000000"/>
                <w:sz w:val="17"/>
              </w:rPr>
              <w:t>Run graph, solver logs, convergence, warnings, margins</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Geometry Studio</w:t>
            </w:r>
          </w:p>
        </w:tc>
        <w:tc>
          <w:tcPr>
            <w:tcW w:type="dxa" w:w="3500"/>
            <w:tcMar>
              <w:top w:w="80" w:type="dxa"/>
              <w:start w:w="120" w:type="dxa"/>
              <w:bottom w:w="80" w:type="dxa"/>
              <w:end w:w="120" w:type="dxa"/>
            </w:tcMar>
          </w:tcPr>
          <w:p>
            <w:pPr>
              <w:spacing w:after="0"/>
            </w:pPr>
            <w:r>
              <w:rPr>
                <w:rFonts w:ascii="Calibri" w:hAnsi="Calibri"/>
                <w:color w:val="000000"/>
                <w:sz w:val="17"/>
              </w:rPr>
              <w:t>CAD generation and topology candidates</w:t>
            </w:r>
          </w:p>
        </w:tc>
        <w:tc>
          <w:tcPr>
            <w:tcW w:type="dxa" w:w="4260"/>
            <w:tcMar>
              <w:top w:w="80" w:type="dxa"/>
              <w:start w:w="120" w:type="dxa"/>
              <w:bottom w:w="80" w:type="dxa"/>
              <w:end w:w="120" w:type="dxa"/>
            </w:tcMar>
          </w:tcPr>
          <w:p>
            <w:pPr>
              <w:spacing w:after="0"/>
            </w:pPr>
            <w:r>
              <w:rPr>
                <w:rFonts w:ascii="Calibri" w:hAnsi="Calibri"/>
                <w:color w:val="000000"/>
                <w:sz w:val="17"/>
              </w:rPr>
              <w:t>3D viewer, feature tree, parametric controls, export panel</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Simulation Hub</w:t>
            </w:r>
          </w:p>
        </w:tc>
        <w:tc>
          <w:tcPr>
            <w:tcW w:type="dxa" w:w="3500"/>
            <w:tcMar>
              <w:top w:w="80" w:type="dxa"/>
              <w:start w:w="120" w:type="dxa"/>
              <w:bottom w:w="80" w:type="dxa"/>
              <w:end w:w="120" w:type="dxa"/>
            </w:tcMar>
          </w:tcPr>
          <w:p>
            <w:pPr>
              <w:spacing w:after="0"/>
            </w:pPr>
            <w:r>
              <w:rPr>
                <w:rFonts w:ascii="Calibri" w:hAnsi="Calibri"/>
                <w:color w:val="000000"/>
                <w:sz w:val="17"/>
              </w:rPr>
              <w:t>External case management</w:t>
            </w:r>
          </w:p>
        </w:tc>
        <w:tc>
          <w:tcPr>
            <w:tcW w:type="dxa" w:w="4260"/>
            <w:tcMar>
              <w:top w:w="80" w:type="dxa"/>
              <w:start w:w="120" w:type="dxa"/>
              <w:bottom w:w="80" w:type="dxa"/>
              <w:end w:w="120" w:type="dxa"/>
            </w:tcMar>
          </w:tcPr>
          <w:p>
            <w:pPr>
              <w:spacing w:after="0"/>
            </w:pPr>
            <w:r>
              <w:rPr>
                <w:rFonts w:ascii="Calibri" w:hAnsi="Calibri"/>
                <w:color w:val="000000"/>
                <w:sz w:val="17"/>
              </w:rPr>
              <w:t>Tool adapters, case packages, upload results, mesh metadata</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Comparison Cockpit</w:t>
            </w:r>
          </w:p>
        </w:tc>
        <w:tc>
          <w:tcPr>
            <w:tcW w:type="dxa" w:w="3500"/>
            <w:tcMar>
              <w:top w:w="80" w:type="dxa"/>
              <w:start w:w="120" w:type="dxa"/>
              <w:bottom w:w="80" w:type="dxa"/>
              <w:end w:w="120" w:type="dxa"/>
            </w:tcMar>
          </w:tcPr>
          <w:p>
            <w:pPr>
              <w:spacing w:after="0"/>
            </w:pPr>
            <w:r>
              <w:rPr>
                <w:rFonts w:ascii="Calibri" w:hAnsi="Calibri"/>
                <w:color w:val="000000"/>
                <w:sz w:val="17"/>
              </w:rPr>
              <w:t>Side-by-side validation</w:t>
            </w:r>
          </w:p>
        </w:tc>
        <w:tc>
          <w:tcPr>
            <w:tcW w:type="dxa" w:w="4260"/>
            <w:tcMar>
              <w:top w:w="80" w:type="dxa"/>
              <w:start w:w="120" w:type="dxa"/>
              <w:bottom w:w="80" w:type="dxa"/>
              <w:end w:w="120" w:type="dxa"/>
            </w:tcMar>
          </w:tcPr>
          <w:p>
            <w:pPr>
              <w:spacing w:after="0"/>
            </w:pPr>
            <w:r>
              <w:rPr>
                <w:rFonts w:ascii="Calibri" w:hAnsi="Calibri"/>
                <w:color w:val="000000"/>
                <w:sz w:val="17"/>
              </w:rPr>
              <w:t>COSMOS vs external result tables, plots, deltas, pass/fail</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Documentation Center</w:t>
            </w:r>
          </w:p>
        </w:tc>
        <w:tc>
          <w:tcPr>
            <w:tcW w:type="dxa" w:w="3500"/>
            <w:tcMar>
              <w:top w:w="80" w:type="dxa"/>
              <w:start w:w="120" w:type="dxa"/>
              <w:bottom w:w="80" w:type="dxa"/>
              <w:end w:w="120" w:type="dxa"/>
            </w:tcMar>
          </w:tcPr>
          <w:p>
            <w:pPr>
              <w:spacing w:after="0"/>
            </w:pPr>
            <w:r>
              <w:rPr>
                <w:rFonts w:ascii="Calibri" w:hAnsi="Calibri"/>
                <w:color w:val="000000"/>
                <w:sz w:val="17"/>
              </w:rPr>
              <w:t>Engineering reports and design basis</w:t>
            </w:r>
          </w:p>
        </w:tc>
        <w:tc>
          <w:tcPr>
            <w:tcW w:type="dxa" w:w="4260"/>
            <w:tcMar>
              <w:top w:w="80" w:type="dxa"/>
              <w:start w:w="120" w:type="dxa"/>
              <w:bottom w:w="80" w:type="dxa"/>
              <w:end w:w="120" w:type="dxa"/>
            </w:tcMar>
          </w:tcPr>
          <w:p>
            <w:pPr>
              <w:spacing w:after="0"/>
            </w:pPr>
            <w:r>
              <w:rPr>
                <w:rFonts w:ascii="Calibri" w:hAnsi="Calibri"/>
                <w:color w:val="000000"/>
                <w:sz w:val="17"/>
              </w:rPr>
              <w:t>Templates, generated docs, versioned outputs</w:t>
            </w:r>
          </w:p>
        </w:tc>
      </w:tr>
      <w:tr>
        <w:trPr>
          <w:cantSplit w:val="true"/>
        </w:trPr>
        <w:tc>
          <w:tcPr>
            <w:tcW w:type="dxa" w:w="1600"/>
            <w:tcMar>
              <w:top w:w="80" w:type="dxa"/>
              <w:start w:w="120" w:type="dxa"/>
              <w:bottom w:w="80" w:type="dxa"/>
              <w:end w:w="120" w:type="dxa"/>
            </w:tcMar>
          </w:tcPr>
          <w:p>
            <w:pPr>
              <w:spacing w:after="0"/>
            </w:pPr>
            <w:r>
              <w:rPr>
                <w:rFonts w:ascii="Calibri" w:hAnsi="Calibri"/>
                <w:color w:val="000000"/>
                <w:sz w:val="17"/>
              </w:rPr>
              <w:t>Release Gate</w:t>
            </w:r>
          </w:p>
        </w:tc>
        <w:tc>
          <w:tcPr>
            <w:tcW w:type="dxa" w:w="3500"/>
            <w:tcMar>
              <w:top w:w="80" w:type="dxa"/>
              <w:start w:w="120" w:type="dxa"/>
              <w:bottom w:w="80" w:type="dxa"/>
              <w:end w:w="120" w:type="dxa"/>
            </w:tcMar>
          </w:tcPr>
          <w:p>
            <w:pPr>
              <w:spacing w:after="0"/>
            </w:pPr>
            <w:r>
              <w:rPr>
                <w:rFonts w:ascii="Calibri" w:hAnsi="Calibri"/>
                <w:color w:val="000000"/>
                <w:sz w:val="17"/>
              </w:rPr>
              <w:t>Human review and manufacturing release</w:t>
            </w:r>
          </w:p>
        </w:tc>
        <w:tc>
          <w:tcPr>
            <w:tcW w:type="dxa" w:w="4260"/>
            <w:tcMar>
              <w:top w:w="80" w:type="dxa"/>
              <w:start w:w="120" w:type="dxa"/>
              <w:bottom w:w="80" w:type="dxa"/>
              <w:end w:w="120" w:type="dxa"/>
            </w:tcMar>
          </w:tcPr>
          <w:p>
            <w:pPr>
              <w:spacing w:after="0"/>
            </w:pPr>
            <w:r>
              <w:rPr>
                <w:rFonts w:ascii="Calibri" w:hAnsi="Calibri"/>
                <w:color w:val="000000"/>
                <w:sz w:val="17"/>
              </w:rPr>
              <w:t>Checklist, issue log, signoff, export controls</w:t>
            </w:r>
          </w:p>
        </w:tc>
      </w:tr>
    </w:tbl>
    <w:p>
      <w:pPr>
        <w:spacing w:before="0" w:after="40" w:line="240" w:lineRule="auto"/>
      </w:pPr>
      <w:r>
        <w:rPr>
          <w:rFonts w:ascii="Calibri" w:hAnsi="Calibri"/>
          <w:sz w:val="2"/>
        </w:rPr>
        <w:t xml:space="preserve"> </w:t>
      </w:r>
    </w:p>
    <w:p>
      <w:pPr>
        <w:pStyle w:val="Heading2"/>
      </w:pPr>
      <w:r>
        <w:t>10.1 UI Principles</w:t>
      </w:r>
    </w:p>
    <w:p>
      <w:pPr>
        <w:pStyle w:val="ListBullet"/>
      </w:pPr>
      <w:r>
        <w:t>Desktop-first, local-first, professional engineering layout.</w:t>
      </w:r>
    </w:p>
    <w:p>
      <w:pPr>
        <w:pStyle w:val="ListBullet"/>
      </w:pPr>
      <w:r>
        <w:t>Dense but readable workspaces; avoid marketing-style screens in operational views.</w:t>
      </w:r>
    </w:p>
    <w:p>
      <w:pPr>
        <w:pStyle w:val="ListBullet"/>
      </w:pPr>
      <w:r>
        <w:t>All numerical inputs are unit-aware and validation-aware.</w:t>
      </w:r>
    </w:p>
    <w:p>
      <w:pPr>
        <w:pStyle w:val="ListBullet"/>
      </w:pPr>
      <w:r>
        <w:t>Every output has an evidence or computation trail accessible from the UI.</w:t>
      </w:r>
    </w:p>
    <w:p>
      <w:pPr>
        <w:pStyle w:val="ListBullet"/>
      </w:pPr>
      <w:r>
        <w:t>The AI assistant appears as an engineering copilot and review explainer, not as the hidden authority.</w:t>
      </w:r>
    </w:p>
    <w:p>
      <w:pPr>
        <w:pStyle w:val="ListBullet"/>
      </w:pPr>
      <w:r>
        <w:t>3D geometry, plots, tables, solver logs, and citations should be visible together when relevant.</w:t>
      </w:r>
    </w:p>
    <w:p>
      <w:pPr>
        <w:pStyle w:val="ListBullet"/>
      </w:pPr>
      <w:r>
        <w:t>Release readiness must be visible as a formal state, not implied by successful geometry generation.</w:t>
      </w:r>
    </w:p>
    <w:p>
      <w:pPr>
        <w:pStyle w:val="Heading1"/>
      </w:pPr>
      <w:r>
        <w:t>11. Engineering Documentation System</w:t>
      </w:r>
    </w:p>
    <w:p>
      <w:r>
        <w:t>COSMOS shall generate engineering documentation automatically and store it as traceable design evidence. Documentation is not a side output; it is part of the design authority. Every report should be generated from the design state, source evidence, solver outputs, CAD metadata, external analysis results, and review records.</w:t>
      </w:r>
    </w:p>
    <w:tbl>
      <w:tblPr>
        <w:tblStyle w:val="TableGrid"/>
        <w:tblW w:type="dxa" w:w="9360"/>
        <w:jc w:val="left"/>
        <w:tblLook w:firstColumn="1" w:firstRow="1" w:lastColumn="0" w:lastRow="0" w:noHBand="0" w:noVBand="1" w:val="04A0"/>
        <w:tblInd w:w="120" w:type="dxa"/>
        <w:tblLayout w:type="fixed"/>
      </w:tblPr>
      <w:tblGrid>
        <w:gridCol w:w="1800"/>
        <w:gridCol w:w="5000"/>
        <w:gridCol w:w="2560"/>
      </w:tblGrid>
      <w:tr>
        <w:trPr>
          <w:tblHeader w:val="true"/>
          <w:cantSplit w:val="true"/>
        </w:trPr>
        <w:tc>
          <w:tcPr>
            <w:tcW w:type="dxa" w:w="1800"/>
            <w:vAlign w:val="center"/>
            <w:tcMar>
              <w:top w:w="80" w:type="dxa"/>
              <w:start w:w="120" w:type="dxa"/>
              <w:bottom w:w="80" w:type="dxa"/>
              <w:end w:w="120" w:type="dxa"/>
            </w:tcMar>
            <w:shd w:fill="F2F4F7"/>
          </w:tcPr>
          <w:p>
            <w:pPr>
              <w:spacing w:after="0"/>
            </w:pPr>
            <w:r>
              <w:rPr>
                <w:rFonts w:ascii="Calibri" w:hAnsi="Calibri"/>
                <w:b/>
                <w:color w:val="0B2545"/>
                <w:sz w:val="17"/>
              </w:rPr>
              <w:t>Document Type</w:t>
            </w:r>
          </w:p>
        </w:tc>
        <w:tc>
          <w:tcPr>
            <w:tcW w:type="dxa" w:w="5000"/>
            <w:vAlign w:val="center"/>
            <w:tcMar>
              <w:top w:w="80" w:type="dxa"/>
              <w:start w:w="120" w:type="dxa"/>
              <w:bottom w:w="80" w:type="dxa"/>
              <w:end w:w="120" w:type="dxa"/>
            </w:tcMar>
            <w:shd w:fill="F2F4F7"/>
          </w:tcPr>
          <w:p>
            <w:pPr>
              <w:spacing w:after="0"/>
            </w:pPr>
            <w:r>
              <w:rPr>
                <w:rFonts w:ascii="Calibri" w:hAnsi="Calibri"/>
                <w:b/>
                <w:color w:val="0B2545"/>
                <w:sz w:val="17"/>
              </w:rPr>
              <w:t>Contents</w:t>
            </w:r>
          </w:p>
        </w:tc>
        <w:tc>
          <w:tcPr>
            <w:tcW w:type="dxa" w:w="2560"/>
            <w:vAlign w:val="center"/>
            <w:tcMar>
              <w:top w:w="80" w:type="dxa"/>
              <w:start w:w="120" w:type="dxa"/>
              <w:bottom w:w="80" w:type="dxa"/>
              <w:end w:w="120" w:type="dxa"/>
            </w:tcMar>
            <w:shd w:fill="F2F4F7"/>
          </w:tcPr>
          <w:p>
            <w:pPr>
              <w:spacing w:after="0"/>
            </w:pPr>
            <w:r>
              <w:rPr>
                <w:rFonts w:ascii="Calibri" w:hAnsi="Calibri"/>
                <w:b/>
                <w:color w:val="0B2545"/>
                <w:sz w:val="17"/>
              </w:rPr>
              <w:t>Release Role</w:t>
            </w:r>
          </w:p>
        </w:tc>
      </w:tr>
      <w:tr>
        <w:trPr>
          <w:cantSplit w:val="true"/>
        </w:trPr>
        <w:tc>
          <w:tcPr>
            <w:tcW w:type="dxa" w:w="1800"/>
            <w:tcMar>
              <w:top w:w="80" w:type="dxa"/>
              <w:start w:w="120" w:type="dxa"/>
              <w:bottom w:w="80" w:type="dxa"/>
              <w:end w:w="120" w:type="dxa"/>
            </w:tcMar>
          </w:tcPr>
          <w:p>
            <w:pPr>
              <w:spacing w:after="0"/>
            </w:pPr>
            <w:r>
              <w:rPr>
                <w:rFonts w:ascii="Calibri" w:hAnsi="Calibri"/>
                <w:color w:val="000000"/>
                <w:sz w:val="17"/>
              </w:rPr>
              <w:t>Design Basis Document</w:t>
            </w:r>
          </w:p>
        </w:tc>
        <w:tc>
          <w:tcPr>
            <w:tcW w:type="dxa" w:w="5000"/>
            <w:tcMar>
              <w:top w:w="80" w:type="dxa"/>
              <w:start w:w="120" w:type="dxa"/>
              <w:bottom w:w="80" w:type="dxa"/>
              <w:end w:w="120" w:type="dxa"/>
            </w:tcMar>
          </w:tcPr>
          <w:p>
            <w:pPr>
              <w:spacing w:after="0"/>
            </w:pPr>
            <w:r>
              <w:rPr>
                <w:rFonts w:ascii="Calibri" w:hAnsi="Calibri"/>
                <w:color w:val="000000"/>
                <w:sz w:val="17"/>
              </w:rPr>
              <w:t>Requirements, assumptions, selected architecture, propellants, materials, validity ranges</w:t>
            </w:r>
          </w:p>
        </w:tc>
        <w:tc>
          <w:tcPr>
            <w:tcW w:type="dxa" w:w="2560"/>
            <w:tcMar>
              <w:top w:w="80" w:type="dxa"/>
              <w:start w:w="120" w:type="dxa"/>
              <w:bottom w:w="80" w:type="dxa"/>
              <w:end w:w="120" w:type="dxa"/>
            </w:tcMar>
          </w:tcPr>
          <w:p>
            <w:pPr>
              <w:spacing w:after="0"/>
            </w:pPr>
            <w:r>
              <w:rPr>
                <w:rFonts w:ascii="Calibri" w:hAnsi="Calibri"/>
                <w:color w:val="000000"/>
                <w:sz w:val="17"/>
              </w:rPr>
              <w:t>Defines why the engine exists and what it must satisfy</w:t>
            </w:r>
          </w:p>
        </w:tc>
      </w:tr>
      <w:tr>
        <w:trPr>
          <w:cantSplit w:val="true"/>
        </w:trPr>
        <w:tc>
          <w:tcPr>
            <w:tcW w:type="dxa" w:w="1800"/>
            <w:tcMar>
              <w:top w:w="80" w:type="dxa"/>
              <w:start w:w="120" w:type="dxa"/>
              <w:bottom w:w="80" w:type="dxa"/>
              <w:end w:w="120" w:type="dxa"/>
            </w:tcMar>
          </w:tcPr>
          <w:p>
            <w:pPr>
              <w:spacing w:after="0"/>
            </w:pPr>
            <w:r>
              <w:rPr>
                <w:rFonts w:ascii="Calibri" w:hAnsi="Calibri"/>
                <w:color w:val="000000"/>
                <w:sz w:val="17"/>
              </w:rPr>
              <w:t>Calculation Package</w:t>
            </w:r>
          </w:p>
        </w:tc>
        <w:tc>
          <w:tcPr>
            <w:tcW w:type="dxa" w:w="5000"/>
            <w:tcMar>
              <w:top w:w="80" w:type="dxa"/>
              <w:start w:w="120" w:type="dxa"/>
              <w:bottom w:w="80" w:type="dxa"/>
              <w:end w:w="120" w:type="dxa"/>
            </w:tcMar>
          </w:tcPr>
          <w:p>
            <w:pPr>
              <w:spacing w:after="0"/>
            </w:pPr>
            <w:r>
              <w:rPr>
                <w:rFonts w:ascii="Calibri" w:hAnsi="Calibri"/>
                <w:color w:val="000000"/>
                <w:sz w:val="17"/>
              </w:rPr>
              <w:t>Equations, variables, constants, solver versions, numerical outputs, margins</w:t>
            </w:r>
          </w:p>
        </w:tc>
        <w:tc>
          <w:tcPr>
            <w:tcW w:type="dxa" w:w="2560"/>
            <w:tcMar>
              <w:top w:w="80" w:type="dxa"/>
              <w:start w:w="120" w:type="dxa"/>
              <w:bottom w:w="80" w:type="dxa"/>
              <w:end w:w="120" w:type="dxa"/>
            </w:tcMar>
          </w:tcPr>
          <w:p>
            <w:pPr>
              <w:spacing w:after="0"/>
            </w:pPr>
            <w:r>
              <w:rPr>
                <w:rFonts w:ascii="Calibri" w:hAnsi="Calibri"/>
                <w:color w:val="000000"/>
                <w:sz w:val="17"/>
              </w:rPr>
              <w:t>Auditable engineering computation record</w:t>
            </w:r>
          </w:p>
        </w:tc>
      </w:tr>
      <w:tr>
        <w:trPr>
          <w:cantSplit w:val="true"/>
        </w:trPr>
        <w:tc>
          <w:tcPr>
            <w:tcW w:type="dxa" w:w="1800"/>
            <w:tcMar>
              <w:top w:w="80" w:type="dxa"/>
              <w:start w:w="120" w:type="dxa"/>
              <w:bottom w:w="80" w:type="dxa"/>
              <w:end w:w="120" w:type="dxa"/>
            </w:tcMar>
          </w:tcPr>
          <w:p>
            <w:pPr>
              <w:spacing w:after="0"/>
            </w:pPr>
            <w:r>
              <w:rPr>
                <w:rFonts w:ascii="Calibri" w:hAnsi="Calibri"/>
                <w:color w:val="000000"/>
                <w:sz w:val="17"/>
              </w:rPr>
              <w:t>CAD Generation Report</w:t>
            </w:r>
          </w:p>
        </w:tc>
        <w:tc>
          <w:tcPr>
            <w:tcW w:type="dxa" w:w="5000"/>
            <w:tcMar>
              <w:top w:w="80" w:type="dxa"/>
              <w:start w:w="120" w:type="dxa"/>
              <w:bottom w:w="80" w:type="dxa"/>
              <w:end w:w="120" w:type="dxa"/>
            </w:tcMar>
          </w:tcPr>
          <w:p>
            <w:pPr>
              <w:spacing w:after="0"/>
            </w:pPr>
            <w:r>
              <w:rPr>
                <w:rFonts w:ascii="Calibri" w:hAnsi="Calibri"/>
                <w:color w:val="000000"/>
                <w:sz w:val="17"/>
              </w:rPr>
              <w:t>Feature tree, parametric values, generator version, geometry checks, export files</w:t>
            </w:r>
          </w:p>
        </w:tc>
        <w:tc>
          <w:tcPr>
            <w:tcW w:type="dxa" w:w="2560"/>
            <w:tcMar>
              <w:top w:w="80" w:type="dxa"/>
              <w:start w:w="120" w:type="dxa"/>
              <w:bottom w:w="80" w:type="dxa"/>
              <w:end w:w="120" w:type="dxa"/>
            </w:tcMar>
          </w:tcPr>
          <w:p>
            <w:pPr>
              <w:spacing w:after="0"/>
            </w:pPr>
            <w:r>
              <w:rPr>
                <w:rFonts w:ascii="Calibri" w:hAnsi="Calibri"/>
                <w:color w:val="000000"/>
                <w:sz w:val="17"/>
              </w:rPr>
              <w:t>Shows how geometry was produced</w:t>
            </w:r>
          </w:p>
        </w:tc>
      </w:tr>
      <w:tr>
        <w:trPr>
          <w:cantSplit w:val="true"/>
        </w:trPr>
        <w:tc>
          <w:tcPr>
            <w:tcW w:type="dxa" w:w="1800"/>
            <w:tcMar>
              <w:top w:w="80" w:type="dxa"/>
              <w:start w:w="120" w:type="dxa"/>
              <w:bottom w:w="80" w:type="dxa"/>
              <w:end w:w="120" w:type="dxa"/>
            </w:tcMar>
          </w:tcPr>
          <w:p>
            <w:pPr>
              <w:spacing w:after="0"/>
            </w:pPr>
            <w:r>
              <w:rPr>
                <w:rFonts w:ascii="Calibri" w:hAnsi="Calibri"/>
                <w:color w:val="000000"/>
                <w:sz w:val="17"/>
              </w:rPr>
              <w:t>Topology Optimization Report</w:t>
            </w:r>
          </w:p>
        </w:tc>
        <w:tc>
          <w:tcPr>
            <w:tcW w:type="dxa" w:w="5000"/>
            <w:tcMar>
              <w:top w:w="80" w:type="dxa"/>
              <w:start w:w="120" w:type="dxa"/>
              <w:bottom w:w="80" w:type="dxa"/>
              <w:end w:w="120" w:type="dxa"/>
            </w:tcMar>
          </w:tcPr>
          <w:p>
            <w:pPr>
              <w:spacing w:after="0"/>
            </w:pPr>
            <w:r>
              <w:rPr>
                <w:rFonts w:ascii="Calibri" w:hAnsi="Calibri"/>
                <w:color w:val="000000"/>
                <w:sz w:val="17"/>
              </w:rPr>
              <w:t>Objectives, constraints, preserve regions, candidate comparison, reconstruction notes</w:t>
            </w:r>
          </w:p>
        </w:tc>
        <w:tc>
          <w:tcPr>
            <w:tcW w:type="dxa" w:w="2560"/>
            <w:tcMar>
              <w:top w:w="80" w:type="dxa"/>
              <w:start w:w="120" w:type="dxa"/>
              <w:bottom w:w="80" w:type="dxa"/>
              <w:end w:w="120" w:type="dxa"/>
            </w:tcMar>
          </w:tcPr>
          <w:p>
            <w:pPr>
              <w:spacing w:after="0"/>
            </w:pPr>
            <w:r>
              <w:rPr>
                <w:rFonts w:ascii="Calibri" w:hAnsi="Calibri"/>
                <w:color w:val="000000"/>
                <w:sz w:val="17"/>
              </w:rPr>
              <w:t>Prevents raw topology output from becoming unreviewed design truth</w:t>
            </w:r>
          </w:p>
        </w:tc>
      </w:tr>
      <w:tr>
        <w:trPr>
          <w:cantSplit w:val="true"/>
        </w:trPr>
        <w:tc>
          <w:tcPr>
            <w:tcW w:type="dxa" w:w="1800"/>
            <w:tcMar>
              <w:top w:w="80" w:type="dxa"/>
              <w:start w:w="120" w:type="dxa"/>
              <w:bottom w:w="80" w:type="dxa"/>
              <w:end w:w="120" w:type="dxa"/>
            </w:tcMar>
          </w:tcPr>
          <w:p>
            <w:pPr>
              <w:spacing w:after="0"/>
            </w:pPr>
            <w:r>
              <w:rPr>
                <w:rFonts w:ascii="Calibri" w:hAnsi="Calibri"/>
                <w:color w:val="000000"/>
                <w:sz w:val="17"/>
              </w:rPr>
              <w:t>CFD Report</w:t>
            </w:r>
          </w:p>
        </w:tc>
        <w:tc>
          <w:tcPr>
            <w:tcW w:type="dxa" w:w="5000"/>
            <w:tcMar>
              <w:top w:w="80" w:type="dxa"/>
              <w:start w:w="120" w:type="dxa"/>
              <w:bottom w:w="80" w:type="dxa"/>
              <w:end w:w="120" w:type="dxa"/>
            </w:tcMar>
          </w:tcPr>
          <w:p>
            <w:pPr>
              <w:spacing w:after="0"/>
            </w:pPr>
            <w:r>
              <w:rPr>
                <w:rFonts w:ascii="Calibri" w:hAnsi="Calibri"/>
                <w:color w:val="000000"/>
                <w:sz w:val="17"/>
              </w:rPr>
              <w:t>Mesh, BCs, solver model, residuals, fields, comparison deltas</w:t>
            </w:r>
          </w:p>
        </w:tc>
        <w:tc>
          <w:tcPr>
            <w:tcW w:type="dxa" w:w="2560"/>
            <w:tcMar>
              <w:top w:w="80" w:type="dxa"/>
              <w:start w:w="120" w:type="dxa"/>
              <w:bottom w:w="80" w:type="dxa"/>
              <w:end w:w="120" w:type="dxa"/>
            </w:tcMar>
          </w:tcPr>
          <w:p>
            <w:pPr>
              <w:spacing w:after="0"/>
            </w:pPr>
            <w:r>
              <w:rPr>
                <w:rFonts w:ascii="Calibri" w:hAnsi="Calibri"/>
                <w:color w:val="000000"/>
                <w:sz w:val="17"/>
              </w:rPr>
              <w:t>Fluid/thermal validation evidence</w:t>
            </w:r>
          </w:p>
        </w:tc>
      </w:tr>
      <w:tr>
        <w:trPr>
          <w:cantSplit w:val="true"/>
        </w:trPr>
        <w:tc>
          <w:tcPr>
            <w:tcW w:type="dxa" w:w="1800"/>
            <w:tcMar>
              <w:top w:w="80" w:type="dxa"/>
              <w:start w:w="120" w:type="dxa"/>
              <w:bottom w:w="80" w:type="dxa"/>
              <w:end w:w="120" w:type="dxa"/>
            </w:tcMar>
          </w:tcPr>
          <w:p>
            <w:pPr>
              <w:spacing w:after="0"/>
            </w:pPr>
            <w:r>
              <w:rPr>
                <w:rFonts w:ascii="Calibri" w:hAnsi="Calibri"/>
                <w:color w:val="000000"/>
                <w:sz w:val="17"/>
              </w:rPr>
              <w:t>FEA/FEM Report</w:t>
            </w:r>
          </w:p>
        </w:tc>
        <w:tc>
          <w:tcPr>
            <w:tcW w:type="dxa" w:w="5000"/>
            <w:tcMar>
              <w:top w:w="80" w:type="dxa"/>
              <w:start w:w="120" w:type="dxa"/>
              <w:bottom w:w="80" w:type="dxa"/>
              <w:end w:w="120" w:type="dxa"/>
            </w:tcMar>
          </w:tcPr>
          <w:p>
            <w:pPr>
              <w:spacing w:after="0"/>
            </w:pPr>
            <w:r>
              <w:rPr>
                <w:rFonts w:ascii="Calibri" w:hAnsi="Calibri"/>
                <w:color w:val="000000"/>
                <w:sz w:val="17"/>
              </w:rPr>
              <w:t>Loads, constraints, material model, stress/strain/thermal results, margins</w:t>
            </w:r>
          </w:p>
        </w:tc>
        <w:tc>
          <w:tcPr>
            <w:tcW w:type="dxa" w:w="2560"/>
            <w:tcMar>
              <w:top w:w="80" w:type="dxa"/>
              <w:start w:w="120" w:type="dxa"/>
              <w:bottom w:w="80" w:type="dxa"/>
              <w:end w:w="120" w:type="dxa"/>
            </w:tcMar>
          </w:tcPr>
          <w:p>
            <w:pPr>
              <w:spacing w:after="0"/>
            </w:pPr>
            <w:r>
              <w:rPr>
                <w:rFonts w:ascii="Calibri" w:hAnsi="Calibri"/>
                <w:color w:val="000000"/>
                <w:sz w:val="17"/>
              </w:rPr>
              <w:t>Structural validation evidence</w:t>
            </w:r>
          </w:p>
        </w:tc>
      </w:tr>
      <w:tr>
        <w:trPr>
          <w:cantSplit w:val="true"/>
        </w:trPr>
        <w:tc>
          <w:tcPr>
            <w:tcW w:type="dxa" w:w="1800"/>
            <w:tcMar>
              <w:top w:w="80" w:type="dxa"/>
              <w:start w:w="120" w:type="dxa"/>
              <w:bottom w:w="80" w:type="dxa"/>
              <w:end w:w="120" w:type="dxa"/>
            </w:tcMar>
          </w:tcPr>
          <w:p>
            <w:pPr>
              <w:spacing w:after="0"/>
            </w:pPr>
            <w:r>
              <w:rPr>
                <w:rFonts w:ascii="Calibri" w:hAnsi="Calibri"/>
                <w:color w:val="000000"/>
                <w:sz w:val="17"/>
              </w:rPr>
              <w:t>Manufacturing Release Passport</w:t>
            </w:r>
          </w:p>
        </w:tc>
        <w:tc>
          <w:tcPr>
            <w:tcW w:type="dxa" w:w="5000"/>
            <w:tcMar>
              <w:top w:w="80" w:type="dxa"/>
              <w:start w:w="120" w:type="dxa"/>
              <w:bottom w:w="80" w:type="dxa"/>
              <w:end w:w="120" w:type="dxa"/>
            </w:tcMar>
          </w:tcPr>
          <w:p>
            <w:pPr>
              <w:spacing w:after="0"/>
            </w:pPr>
            <w:r>
              <w:rPr>
                <w:rFonts w:ascii="Calibri" w:hAnsi="Calibri"/>
                <w:color w:val="000000"/>
                <w:sz w:val="17"/>
              </w:rPr>
              <w:t>All required gates, signoffs, file checksums, open waivers, print/process notes</w:t>
            </w:r>
          </w:p>
        </w:tc>
        <w:tc>
          <w:tcPr>
            <w:tcW w:type="dxa" w:w="2560"/>
            <w:tcMar>
              <w:top w:w="80" w:type="dxa"/>
              <w:start w:w="120" w:type="dxa"/>
              <w:bottom w:w="80" w:type="dxa"/>
              <w:end w:w="120" w:type="dxa"/>
            </w:tcMar>
          </w:tcPr>
          <w:p>
            <w:pPr>
              <w:spacing w:after="0"/>
            </w:pPr>
            <w:r>
              <w:rPr>
                <w:rFonts w:ascii="Calibri" w:hAnsi="Calibri"/>
                <w:color w:val="000000"/>
                <w:sz w:val="17"/>
              </w:rPr>
              <w:t>Final release-control artifact</w:t>
            </w:r>
          </w:p>
        </w:tc>
      </w:tr>
      <w:tr>
        <w:trPr>
          <w:cantSplit w:val="true"/>
        </w:trPr>
        <w:tc>
          <w:tcPr>
            <w:tcW w:type="dxa" w:w="1800"/>
            <w:tcMar>
              <w:top w:w="80" w:type="dxa"/>
              <w:start w:w="120" w:type="dxa"/>
              <w:bottom w:w="80" w:type="dxa"/>
              <w:end w:w="120" w:type="dxa"/>
            </w:tcMar>
          </w:tcPr>
          <w:p>
            <w:pPr>
              <w:spacing w:after="0"/>
            </w:pPr>
            <w:r>
              <w:rPr>
                <w:rFonts w:ascii="Calibri" w:hAnsi="Calibri"/>
                <w:color w:val="000000"/>
                <w:sz w:val="17"/>
              </w:rPr>
              <w:t>Change Impact Report</w:t>
            </w:r>
          </w:p>
        </w:tc>
        <w:tc>
          <w:tcPr>
            <w:tcW w:type="dxa" w:w="5000"/>
            <w:tcMar>
              <w:top w:w="80" w:type="dxa"/>
              <w:start w:w="120" w:type="dxa"/>
              <w:bottom w:w="80" w:type="dxa"/>
              <w:end w:w="120" w:type="dxa"/>
            </w:tcMar>
          </w:tcPr>
          <w:p>
            <w:pPr>
              <w:spacing w:after="0"/>
            </w:pPr>
            <w:r>
              <w:rPr>
                <w:rFonts w:ascii="Calibri" w:hAnsi="Calibri"/>
                <w:color w:val="000000"/>
                <w:sz w:val="17"/>
              </w:rPr>
              <w:t>Before/after requirements, geometry, solver outputs, analysis deltas</w:t>
            </w:r>
          </w:p>
        </w:tc>
        <w:tc>
          <w:tcPr>
            <w:tcW w:type="dxa" w:w="2560"/>
            <w:tcMar>
              <w:top w:w="80" w:type="dxa"/>
              <w:start w:w="120" w:type="dxa"/>
              <w:bottom w:w="80" w:type="dxa"/>
              <w:end w:w="120" w:type="dxa"/>
            </w:tcMar>
          </w:tcPr>
          <w:p>
            <w:pPr>
              <w:spacing w:after="0"/>
            </w:pPr>
            <w:r>
              <w:rPr>
                <w:rFonts w:ascii="Calibri" w:hAnsi="Calibri"/>
                <w:color w:val="000000"/>
                <w:sz w:val="17"/>
              </w:rPr>
              <w:t>Controls revisions and regression risk</w:t>
            </w:r>
          </w:p>
        </w:tc>
      </w:tr>
    </w:tbl>
    <w:p>
      <w:pPr>
        <w:spacing w:before="0" w:after="40" w:line="240" w:lineRule="auto"/>
      </w:pPr>
      <w:r>
        <w:rPr>
          <w:rFonts w:ascii="Calibri" w:hAnsi="Calibri"/>
          <w:sz w:val="2"/>
        </w:rPr>
        <w:t xml:space="preserve"> </w:t>
      </w:r>
    </w:p>
    <w:p>
      <w:pPr>
        <w:pStyle w:val="Heading2"/>
      </w:pPr>
      <w:r>
        <w:t>11.1 Documentation Storage and Traceability</w:t>
      </w:r>
    </w:p>
    <w:p>
      <w:pPr>
        <w:pStyle w:val="ListBullet"/>
      </w:pPr>
      <w:r>
        <w:t>Every generated document receives a document ID, version, content hash, source design-state hash, and authoring pipeline version.</w:t>
      </w:r>
    </w:p>
    <w:p>
      <w:pPr>
        <w:pStyle w:val="ListBullet"/>
      </w:pPr>
      <w:r>
        <w:t>Documents remain immutable after release; revisions create new versions.</w:t>
      </w:r>
    </w:p>
    <w:p>
      <w:pPr>
        <w:pStyle w:val="ListBullet"/>
      </w:pPr>
      <w:r>
        <w:t>Reports shall be exportable as DOCX, PDF, Markdown, JSON evidence bundles, and project archive records.</w:t>
      </w:r>
    </w:p>
    <w:p>
      <w:pPr>
        <w:pStyle w:val="ListBullet"/>
      </w:pPr>
      <w:r>
        <w:t>Every report section should be traceable to source data or generated computation.</w:t>
      </w:r>
    </w:p>
    <w:p>
      <w:pPr>
        <w:pStyle w:val="ListBullet"/>
      </w:pPr>
      <w:r>
        <w:t>External analysis reports uploaded by reviewers should be stored beside generated COSMOS reports and compared in the UI.</w:t>
      </w:r>
    </w:p>
    <w:p>
      <w:pPr>
        <w:pStyle w:val="Heading1"/>
      </w:pPr>
      <w:r>
        <w:t>12. Data, Persistence, and Digital Thread</w:t>
      </w:r>
    </w:p>
    <w:p>
      <w:r>
        <w:t>COSMOS needs a digital-thread storage model that can operate locally but later scale to team and enterprise use. The first implementation can use SQLite/DuckDB plus file-based artifact storage; the architecture should leave a path to PostgreSQL, object storage, and vector/graph services.</w:t>
      </w:r>
    </w:p>
    <w:tbl>
      <w:tblPr>
        <w:tblStyle w:val="TableGrid"/>
        <w:tblW w:type="dxa" w:w="9360"/>
        <w:jc w:val="left"/>
        <w:tblLook w:firstColumn="1" w:firstRow="1" w:lastColumn="0" w:lastRow="0" w:noHBand="0" w:noVBand="1" w:val="04A0"/>
        <w:tblInd w:w="120" w:type="dxa"/>
        <w:tblLayout w:type="fixed"/>
      </w:tblPr>
      <w:tblGrid>
        <w:gridCol w:w="2200"/>
        <w:gridCol w:w="3600"/>
        <w:gridCol w:w="3560"/>
      </w:tblGrid>
      <w:tr>
        <w:trPr>
          <w:tblHeader w:val="true"/>
          <w:cantSplit w:val="true"/>
        </w:trPr>
        <w:tc>
          <w:tcPr>
            <w:tcW w:type="dxa" w:w="2200"/>
            <w:vAlign w:val="center"/>
            <w:tcMar>
              <w:top w:w="80" w:type="dxa"/>
              <w:start w:w="120" w:type="dxa"/>
              <w:bottom w:w="80" w:type="dxa"/>
              <w:end w:w="120" w:type="dxa"/>
            </w:tcMar>
            <w:shd w:fill="F2F4F7"/>
          </w:tcPr>
          <w:p>
            <w:pPr>
              <w:spacing w:after="0"/>
            </w:pPr>
            <w:r>
              <w:rPr>
                <w:rFonts w:ascii="Calibri" w:hAnsi="Calibri"/>
                <w:b/>
                <w:color w:val="0B2545"/>
                <w:sz w:val="18"/>
              </w:rPr>
              <w:t>Data Store</w:t>
            </w:r>
          </w:p>
        </w:tc>
        <w:tc>
          <w:tcPr>
            <w:tcW w:type="dxa" w:w="3600"/>
            <w:vAlign w:val="center"/>
            <w:tcMar>
              <w:top w:w="80" w:type="dxa"/>
              <w:start w:w="120" w:type="dxa"/>
              <w:bottom w:w="80" w:type="dxa"/>
              <w:end w:w="120" w:type="dxa"/>
            </w:tcMar>
            <w:shd w:fill="F2F4F7"/>
          </w:tcPr>
          <w:p>
            <w:pPr>
              <w:spacing w:after="0"/>
            </w:pPr>
            <w:r>
              <w:rPr>
                <w:rFonts w:ascii="Calibri" w:hAnsi="Calibri"/>
                <w:b/>
                <w:color w:val="0B2545"/>
                <w:sz w:val="18"/>
              </w:rPr>
              <w:t>Recommended Initial Choice</w:t>
            </w:r>
          </w:p>
        </w:tc>
        <w:tc>
          <w:tcPr>
            <w:tcW w:type="dxa" w:w="3560"/>
            <w:vAlign w:val="center"/>
            <w:tcMar>
              <w:top w:w="80" w:type="dxa"/>
              <w:start w:w="120" w:type="dxa"/>
              <w:bottom w:w="80" w:type="dxa"/>
              <w:end w:w="120" w:type="dxa"/>
            </w:tcMar>
            <w:shd w:fill="F2F4F7"/>
          </w:tcPr>
          <w:p>
            <w:pPr>
              <w:spacing w:after="0"/>
            </w:pPr>
            <w:r>
              <w:rPr>
                <w:rFonts w:ascii="Calibri" w:hAnsi="Calibri"/>
                <w:b/>
                <w:color w:val="0B2545"/>
                <w:sz w:val="18"/>
              </w:rPr>
              <w:t>Future Enterprise Option</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Project metadata</w:t>
            </w:r>
          </w:p>
        </w:tc>
        <w:tc>
          <w:tcPr>
            <w:tcW w:type="dxa" w:w="3600"/>
            <w:tcMar>
              <w:top w:w="80" w:type="dxa"/>
              <w:start w:w="120" w:type="dxa"/>
              <w:bottom w:w="80" w:type="dxa"/>
              <w:end w:w="120" w:type="dxa"/>
            </w:tcMar>
          </w:tcPr>
          <w:p>
            <w:pPr>
              <w:spacing w:after="0"/>
            </w:pPr>
            <w:r>
              <w:rPr>
                <w:rFonts w:ascii="Calibri" w:hAnsi="Calibri"/>
                <w:color w:val="000000"/>
                <w:sz w:val="18"/>
              </w:rPr>
              <w:t>SQLite</w:t>
            </w:r>
          </w:p>
        </w:tc>
        <w:tc>
          <w:tcPr>
            <w:tcW w:type="dxa" w:w="3560"/>
            <w:tcMar>
              <w:top w:w="80" w:type="dxa"/>
              <w:start w:w="120" w:type="dxa"/>
              <w:bottom w:w="80" w:type="dxa"/>
              <w:end w:w="120" w:type="dxa"/>
            </w:tcMar>
          </w:tcPr>
          <w:p>
            <w:pPr>
              <w:spacing w:after="0"/>
            </w:pPr>
            <w:r>
              <w:rPr>
                <w:rFonts w:ascii="Calibri" w:hAnsi="Calibri"/>
                <w:color w:val="000000"/>
                <w:sz w:val="18"/>
              </w:rPr>
              <w:t>PostgreSQL</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Analytical tabular results</w:t>
            </w:r>
          </w:p>
        </w:tc>
        <w:tc>
          <w:tcPr>
            <w:tcW w:type="dxa" w:w="3600"/>
            <w:tcMar>
              <w:top w:w="80" w:type="dxa"/>
              <w:start w:w="120" w:type="dxa"/>
              <w:bottom w:w="80" w:type="dxa"/>
              <w:end w:w="120" w:type="dxa"/>
            </w:tcMar>
          </w:tcPr>
          <w:p>
            <w:pPr>
              <w:spacing w:after="0"/>
            </w:pPr>
            <w:r>
              <w:rPr>
                <w:rFonts w:ascii="Calibri" w:hAnsi="Calibri"/>
                <w:color w:val="000000"/>
                <w:sz w:val="18"/>
              </w:rPr>
              <w:t>DuckDB/SQLite</w:t>
            </w:r>
          </w:p>
        </w:tc>
        <w:tc>
          <w:tcPr>
            <w:tcW w:type="dxa" w:w="3560"/>
            <w:tcMar>
              <w:top w:w="80" w:type="dxa"/>
              <w:start w:w="120" w:type="dxa"/>
              <w:bottom w:w="80" w:type="dxa"/>
              <w:end w:w="120" w:type="dxa"/>
            </w:tcMar>
          </w:tcPr>
          <w:p>
            <w:pPr>
              <w:spacing w:after="0"/>
            </w:pPr>
            <w:r>
              <w:rPr>
                <w:rFonts w:ascii="Calibri" w:hAnsi="Calibri"/>
                <w:color w:val="000000"/>
                <w:sz w:val="18"/>
              </w:rPr>
              <w:t>PostgreSQL/DuckDB server</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Large arrays and fields</w:t>
            </w:r>
          </w:p>
        </w:tc>
        <w:tc>
          <w:tcPr>
            <w:tcW w:type="dxa" w:w="3600"/>
            <w:tcMar>
              <w:top w:w="80" w:type="dxa"/>
              <w:start w:w="120" w:type="dxa"/>
              <w:bottom w:w="80" w:type="dxa"/>
              <w:end w:w="120" w:type="dxa"/>
            </w:tcMar>
          </w:tcPr>
          <w:p>
            <w:pPr>
              <w:spacing w:after="0"/>
            </w:pPr>
            <w:r>
              <w:rPr>
                <w:rFonts w:ascii="Calibri" w:hAnsi="Calibri"/>
                <w:color w:val="000000"/>
                <w:sz w:val="18"/>
              </w:rPr>
              <w:t>HDF5/Zarr</w:t>
            </w:r>
          </w:p>
        </w:tc>
        <w:tc>
          <w:tcPr>
            <w:tcW w:type="dxa" w:w="3560"/>
            <w:tcMar>
              <w:top w:w="80" w:type="dxa"/>
              <w:start w:w="120" w:type="dxa"/>
              <w:bottom w:w="80" w:type="dxa"/>
              <w:end w:w="120" w:type="dxa"/>
            </w:tcMar>
          </w:tcPr>
          <w:p>
            <w:pPr>
              <w:spacing w:after="0"/>
            </w:pPr>
            <w:r>
              <w:rPr>
                <w:rFonts w:ascii="Calibri" w:hAnsi="Calibri"/>
                <w:color w:val="000000"/>
                <w:sz w:val="18"/>
              </w:rPr>
              <w:t>Object storage plus metadata DB</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CAD artifacts</w:t>
            </w:r>
          </w:p>
        </w:tc>
        <w:tc>
          <w:tcPr>
            <w:tcW w:type="dxa" w:w="3600"/>
            <w:tcMar>
              <w:top w:w="80" w:type="dxa"/>
              <w:start w:w="120" w:type="dxa"/>
              <w:bottom w:w="80" w:type="dxa"/>
              <w:end w:w="120" w:type="dxa"/>
            </w:tcMar>
          </w:tcPr>
          <w:p>
            <w:pPr>
              <w:spacing w:after="0"/>
            </w:pPr>
            <w:r>
              <w:rPr>
                <w:rFonts w:ascii="Calibri" w:hAnsi="Calibri"/>
                <w:color w:val="000000"/>
                <w:sz w:val="18"/>
              </w:rPr>
              <w:t>Versioned files with checksums</w:t>
            </w:r>
          </w:p>
        </w:tc>
        <w:tc>
          <w:tcPr>
            <w:tcW w:type="dxa" w:w="3560"/>
            <w:tcMar>
              <w:top w:w="80" w:type="dxa"/>
              <w:start w:w="120" w:type="dxa"/>
              <w:bottom w:w="80" w:type="dxa"/>
              <w:end w:w="120" w:type="dxa"/>
            </w:tcMar>
          </w:tcPr>
          <w:p>
            <w:pPr>
              <w:spacing w:after="0"/>
            </w:pPr>
            <w:r>
              <w:rPr>
                <w:rFonts w:ascii="Calibri" w:hAnsi="Calibri"/>
                <w:color w:val="000000"/>
                <w:sz w:val="18"/>
              </w:rPr>
              <w:t>PDM/PLM integration</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RAG vectors</w:t>
            </w:r>
          </w:p>
        </w:tc>
        <w:tc>
          <w:tcPr>
            <w:tcW w:type="dxa" w:w="3600"/>
            <w:tcMar>
              <w:top w:w="80" w:type="dxa"/>
              <w:start w:w="120" w:type="dxa"/>
              <w:bottom w:w="80" w:type="dxa"/>
              <w:end w:w="120" w:type="dxa"/>
            </w:tcMar>
          </w:tcPr>
          <w:p>
            <w:pPr>
              <w:spacing w:after="0"/>
            </w:pPr>
            <w:r>
              <w:rPr>
                <w:rFonts w:ascii="Calibri" w:hAnsi="Calibri"/>
                <w:color w:val="000000"/>
                <w:sz w:val="18"/>
              </w:rPr>
              <w:t>FAISS/Qdrant local</w:t>
            </w:r>
          </w:p>
        </w:tc>
        <w:tc>
          <w:tcPr>
            <w:tcW w:type="dxa" w:w="3560"/>
            <w:tcMar>
              <w:top w:w="80" w:type="dxa"/>
              <w:start w:w="120" w:type="dxa"/>
              <w:bottom w:w="80" w:type="dxa"/>
              <w:end w:w="120" w:type="dxa"/>
            </w:tcMar>
          </w:tcPr>
          <w:p>
            <w:pPr>
              <w:spacing w:after="0"/>
            </w:pPr>
            <w:r>
              <w:rPr>
                <w:rFonts w:ascii="Calibri" w:hAnsi="Calibri"/>
                <w:color w:val="000000"/>
                <w:sz w:val="18"/>
              </w:rPr>
              <w:t>Qdrant/pgvector managed service</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Knowledge graph</w:t>
            </w:r>
          </w:p>
        </w:tc>
        <w:tc>
          <w:tcPr>
            <w:tcW w:type="dxa" w:w="3600"/>
            <w:tcMar>
              <w:top w:w="80" w:type="dxa"/>
              <w:start w:w="120" w:type="dxa"/>
              <w:bottom w:w="80" w:type="dxa"/>
              <w:end w:w="120" w:type="dxa"/>
            </w:tcMar>
          </w:tcPr>
          <w:p>
            <w:pPr>
              <w:spacing w:after="0"/>
            </w:pPr>
            <w:r>
              <w:rPr>
                <w:rFonts w:ascii="Calibri" w:hAnsi="Calibri"/>
                <w:color w:val="000000"/>
                <w:sz w:val="18"/>
              </w:rPr>
              <w:t>NetworkX/SQLite initially</w:t>
            </w:r>
          </w:p>
        </w:tc>
        <w:tc>
          <w:tcPr>
            <w:tcW w:type="dxa" w:w="3560"/>
            <w:tcMar>
              <w:top w:w="80" w:type="dxa"/>
              <w:start w:w="120" w:type="dxa"/>
              <w:bottom w:w="80" w:type="dxa"/>
              <w:end w:w="120" w:type="dxa"/>
            </w:tcMar>
          </w:tcPr>
          <w:p>
            <w:pPr>
              <w:spacing w:after="0"/>
            </w:pPr>
            <w:r>
              <w:rPr>
                <w:rFonts w:ascii="Calibri" w:hAnsi="Calibri"/>
                <w:color w:val="000000"/>
                <w:sz w:val="18"/>
              </w:rPr>
              <w:t>Neo4j/PostgreSQL graph extensions</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Generated documents</w:t>
            </w:r>
          </w:p>
        </w:tc>
        <w:tc>
          <w:tcPr>
            <w:tcW w:type="dxa" w:w="3600"/>
            <w:tcMar>
              <w:top w:w="80" w:type="dxa"/>
              <w:start w:w="120" w:type="dxa"/>
              <w:bottom w:w="80" w:type="dxa"/>
              <w:end w:w="120" w:type="dxa"/>
            </w:tcMar>
          </w:tcPr>
          <w:p>
            <w:pPr>
              <w:spacing w:after="0"/>
            </w:pPr>
            <w:r>
              <w:rPr>
                <w:rFonts w:ascii="Calibri" w:hAnsi="Calibri"/>
                <w:color w:val="000000"/>
                <w:sz w:val="18"/>
              </w:rPr>
              <w:t>File store plus document table</w:t>
            </w:r>
          </w:p>
        </w:tc>
        <w:tc>
          <w:tcPr>
            <w:tcW w:type="dxa" w:w="3560"/>
            <w:tcMar>
              <w:top w:w="80" w:type="dxa"/>
              <w:start w:w="120" w:type="dxa"/>
              <w:bottom w:w="80" w:type="dxa"/>
              <w:end w:w="120" w:type="dxa"/>
            </w:tcMar>
          </w:tcPr>
          <w:p>
            <w:pPr>
              <w:spacing w:after="0"/>
            </w:pPr>
            <w:r>
              <w:rPr>
                <w:rFonts w:ascii="Calibri" w:hAnsi="Calibri"/>
                <w:color w:val="000000"/>
                <w:sz w:val="18"/>
              </w:rPr>
              <w:t>Document management integration</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Audit logs</w:t>
            </w:r>
          </w:p>
        </w:tc>
        <w:tc>
          <w:tcPr>
            <w:tcW w:type="dxa" w:w="3600"/>
            <w:tcMar>
              <w:top w:w="80" w:type="dxa"/>
              <w:start w:w="120" w:type="dxa"/>
              <w:bottom w:w="80" w:type="dxa"/>
              <w:end w:w="120" w:type="dxa"/>
            </w:tcMar>
          </w:tcPr>
          <w:p>
            <w:pPr>
              <w:spacing w:after="0"/>
            </w:pPr>
            <w:r>
              <w:rPr>
                <w:rFonts w:ascii="Calibri" w:hAnsi="Calibri"/>
                <w:color w:val="000000"/>
                <w:sz w:val="18"/>
              </w:rPr>
              <w:t>Append-only JSONL/SQLite</w:t>
            </w:r>
          </w:p>
        </w:tc>
        <w:tc>
          <w:tcPr>
            <w:tcW w:type="dxa" w:w="3560"/>
            <w:tcMar>
              <w:top w:w="80" w:type="dxa"/>
              <w:start w:w="120" w:type="dxa"/>
              <w:bottom w:w="80" w:type="dxa"/>
              <w:end w:w="120" w:type="dxa"/>
            </w:tcMar>
          </w:tcPr>
          <w:p>
            <w:pPr>
              <w:spacing w:after="0"/>
            </w:pPr>
            <w:r>
              <w:rPr>
                <w:rFonts w:ascii="Calibri" w:hAnsi="Calibri"/>
                <w:color w:val="000000"/>
                <w:sz w:val="18"/>
              </w:rPr>
              <w:t>Immutable audit service</w:t>
            </w:r>
          </w:p>
        </w:tc>
      </w:tr>
    </w:tbl>
    <w:p>
      <w:pPr>
        <w:spacing w:before="0" w:after="40" w:line="240" w:lineRule="auto"/>
      </w:pPr>
      <w:r>
        <w:rPr>
          <w:rFonts w:ascii="Calibri" w:hAnsi="Calibri"/>
          <w:sz w:val="2"/>
        </w:rPr>
        <w:t xml:space="preserve"> </w:t>
      </w:r>
    </w:p>
    <w:p>
      <w:pPr>
        <w:pStyle w:val="Heading1"/>
      </w:pPr>
      <w:r>
        <w:t>13. Security, IP, and Compliance Controls</w:t>
      </w:r>
    </w:p>
    <w:p>
      <w:r>
        <w:t>COSMOS should be treated as company intellectual property from the beginning. Source code, schemas, solver logic, CAD generators, topology workflows, curated datasets, generated reports, UI workflows, and validation pipelines are proprietary company assets unless explicitly licensed otherwise.</w:t>
      </w:r>
    </w:p>
    <w:tbl>
      <w:tblPr>
        <w:tblStyle w:val="TableGrid"/>
        <w:tblW w:type="dxa" w:w="9360"/>
        <w:jc w:val="left"/>
        <w:tblLook w:firstColumn="1" w:firstRow="1" w:lastColumn="0" w:lastRow="0" w:noHBand="0" w:noVBand="1" w:val="04A0"/>
        <w:tblInd w:w="120" w:type="dxa"/>
        <w:tblLayout w:type="fixed"/>
      </w:tblPr>
      <w:tblGrid>
        <w:gridCol w:w="2100"/>
        <w:gridCol w:w="7260"/>
      </w:tblGrid>
      <w:tr>
        <w:trPr>
          <w:tblHeader w:val="true"/>
          <w:cantSplit w:val="true"/>
        </w:trPr>
        <w:tc>
          <w:tcPr>
            <w:tcW w:type="dxa" w:w="2100"/>
            <w:vAlign w:val="center"/>
            <w:tcMar>
              <w:top w:w="80" w:type="dxa"/>
              <w:start w:w="120" w:type="dxa"/>
              <w:bottom w:w="80" w:type="dxa"/>
              <w:end w:w="120" w:type="dxa"/>
            </w:tcMar>
            <w:shd w:fill="F2F4F7"/>
          </w:tcPr>
          <w:p>
            <w:pPr>
              <w:spacing w:after="0"/>
            </w:pPr>
            <w:r>
              <w:rPr>
                <w:rFonts w:ascii="Calibri" w:hAnsi="Calibri"/>
                <w:b/>
                <w:color w:val="0B2545"/>
                <w:sz w:val="18"/>
              </w:rPr>
              <w:t>Control Area</w:t>
            </w:r>
          </w:p>
        </w:tc>
        <w:tc>
          <w:tcPr>
            <w:tcW w:type="dxa" w:w="7260"/>
            <w:vAlign w:val="center"/>
            <w:tcMar>
              <w:top w:w="80" w:type="dxa"/>
              <w:start w:w="120" w:type="dxa"/>
              <w:bottom w:w="80" w:type="dxa"/>
              <w:end w:w="120" w:type="dxa"/>
            </w:tcMar>
            <w:shd w:fill="F2F4F7"/>
          </w:tcPr>
          <w:p>
            <w:pPr>
              <w:spacing w:after="0"/>
            </w:pPr>
            <w:r>
              <w:rPr>
                <w:rFonts w:ascii="Calibri" w:hAnsi="Calibri"/>
                <w:b/>
                <w:color w:val="0B2545"/>
                <w:sz w:val="18"/>
              </w:rPr>
              <w:t>Requirement</w:t>
            </w:r>
          </w:p>
        </w:tc>
      </w:tr>
      <w:tr>
        <w:trPr>
          <w:cantSplit w:val="true"/>
        </w:trPr>
        <w:tc>
          <w:tcPr>
            <w:tcW w:type="dxa" w:w="2100"/>
            <w:tcMar>
              <w:top w:w="80" w:type="dxa"/>
              <w:start w:w="120" w:type="dxa"/>
              <w:bottom w:w="80" w:type="dxa"/>
              <w:end w:w="120" w:type="dxa"/>
            </w:tcMar>
          </w:tcPr>
          <w:p>
            <w:pPr>
              <w:spacing w:after="0"/>
            </w:pPr>
            <w:r>
              <w:rPr>
                <w:rFonts w:ascii="Calibri" w:hAnsi="Calibri"/>
                <w:color w:val="000000"/>
                <w:sz w:val="18"/>
              </w:rPr>
              <w:t>Ownership</w:t>
            </w:r>
          </w:p>
        </w:tc>
        <w:tc>
          <w:tcPr>
            <w:tcW w:type="dxa" w:w="7260"/>
            <w:tcMar>
              <w:top w:w="80" w:type="dxa"/>
              <w:start w:w="120" w:type="dxa"/>
              <w:bottom w:w="80" w:type="dxa"/>
              <w:end w:w="120" w:type="dxa"/>
            </w:tcMar>
          </w:tcPr>
          <w:p>
            <w:pPr>
              <w:spacing w:after="0"/>
            </w:pPr>
            <w:r>
              <w:rPr>
                <w:rFonts w:ascii="Calibri" w:hAnsi="Calibri"/>
                <w:color w:val="000000"/>
                <w:sz w:val="18"/>
              </w:rPr>
              <w:t>All contributors must have clear invention assignment, contribution, and confidentiality terms.</w:t>
            </w:r>
          </w:p>
        </w:tc>
      </w:tr>
      <w:tr>
        <w:trPr>
          <w:cantSplit w:val="true"/>
        </w:trPr>
        <w:tc>
          <w:tcPr>
            <w:tcW w:type="dxa" w:w="2100"/>
            <w:tcMar>
              <w:top w:w="80" w:type="dxa"/>
              <w:start w:w="120" w:type="dxa"/>
              <w:bottom w:w="80" w:type="dxa"/>
              <w:end w:w="120" w:type="dxa"/>
            </w:tcMar>
          </w:tcPr>
          <w:p>
            <w:pPr>
              <w:spacing w:after="0"/>
            </w:pPr>
            <w:r>
              <w:rPr>
                <w:rFonts w:ascii="Calibri" w:hAnsi="Calibri"/>
                <w:color w:val="000000"/>
                <w:sz w:val="18"/>
              </w:rPr>
              <w:t>Third-party code</w:t>
            </w:r>
          </w:p>
        </w:tc>
        <w:tc>
          <w:tcPr>
            <w:tcW w:type="dxa" w:w="7260"/>
            <w:tcMar>
              <w:top w:w="80" w:type="dxa"/>
              <w:start w:w="120" w:type="dxa"/>
              <w:bottom w:w="80" w:type="dxa"/>
              <w:end w:w="120" w:type="dxa"/>
            </w:tcMar>
          </w:tcPr>
          <w:p>
            <w:pPr>
              <w:spacing w:after="0"/>
            </w:pPr>
            <w:r>
              <w:rPr>
                <w:rFonts w:ascii="Calibri" w:hAnsi="Calibri"/>
                <w:color w:val="000000"/>
                <w:sz w:val="18"/>
              </w:rPr>
              <w:t>Track licenses and never mix incompatible code into proprietary modules.</w:t>
            </w:r>
          </w:p>
        </w:tc>
      </w:tr>
      <w:tr>
        <w:trPr>
          <w:cantSplit w:val="true"/>
        </w:trPr>
        <w:tc>
          <w:tcPr>
            <w:tcW w:type="dxa" w:w="2100"/>
            <w:tcMar>
              <w:top w:w="80" w:type="dxa"/>
              <w:start w:w="120" w:type="dxa"/>
              <w:bottom w:w="80" w:type="dxa"/>
              <w:end w:w="120" w:type="dxa"/>
            </w:tcMar>
          </w:tcPr>
          <w:p>
            <w:pPr>
              <w:spacing w:after="0"/>
            </w:pPr>
            <w:r>
              <w:rPr>
                <w:rFonts w:ascii="Calibri" w:hAnsi="Calibri"/>
                <w:color w:val="000000"/>
                <w:sz w:val="18"/>
              </w:rPr>
              <w:t>Reference data</w:t>
            </w:r>
          </w:p>
        </w:tc>
        <w:tc>
          <w:tcPr>
            <w:tcW w:type="dxa" w:w="7260"/>
            <w:tcMar>
              <w:top w:w="80" w:type="dxa"/>
              <w:start w:w="120" w:type="dxa"/>
              <w:bottom w:w="80" w:type="dxa"/>
              <w:end w:w="120" w:type="dxa"/>
            </w:tcMar>
          </w:tcPr>
          <w:p>
            <w:pPr>
              <w:spacing w:after="0"/>
            </w:pPr>
            <w:r>
              <w:rPr>
                <w:rFonts w:ascii="Calibri" w:hAnsi="Calibri"/>
                <w:color w:val="000000"/>
                <w:sz w:val="18"/>
              </w:rPr>
              <w:t>Store license, source, access rights, and allowed-use status for every ingested source.</w:t>
            </w:r>
          </w:p>
        </w:tc>
      </w:tr>
      <w:tr>
        <w:trPr>
          <w:cantSplit w:val="true"/>
        </w:trPr>
        <w:tc>
          <w:tcPr>
            <w:tcW w:type="dxa" w:w="2100"/>
            <w:tcMar>
              <w:top w:w="80" w:type="dxa"/>
              <w:start w:w="120" w:type="dxa"/>
              <w:bottom w:w="80" w:type="dxa"/>
              <w:end w:w="120" w:type="dxa"/>
            </w:tcMar>
          </w:tcPr>
          <w:p>
            <w:pPr>
              <w:spacing w:after="0"/>
            </w:pPr>
            <w:r>
              <w:rPr>
                <w:rFonts w:ascii="Calibri" w:hAnsi="Calibri"/>
                <w:color w:val="000000"/>
                <w:sz w:val="18"/>
              </w:rPr>
              <w:t>Trade secrets</w:t>
            </w:r>
          </w:p>
        </w:tc>
        <w:tc>
          <w:tcPr>
            <w:tcW w:type="dxa" w:w="7260"/>
            <w:tcMar>
              <w:top w:w="80" w:type="dxa"/>
              <w:start w:w="120" w:type="dxa"/>
              <w:bottom w:w="80" w:type="dxa"/>
              <w:end w:w="120" w:type="dxa"/>
            </w:tcMar>
          </w:tcPr>
          <w:p>
            <w:pPr>
              <w:spacing w:after="0"/>
            </w:pPr>
            <w:r>
              <w:rPr>
                <w:rFonts w:ascii="Calibri" w:hAnsi="Calibri"/>
                <w:color w:val="000000"/>
                <w:sz w:val="18"/>
              </w:rPr>
              <w:t>Protect solver workflows, architecture pattern, model calibration data, and CAD generator logic.</w:t>
            </w:r>
          </w:p>
        </w:tc>
      </w:tr>
      <w:tr>
        <w:trPr>
          <w:cantSplit w:val="true"/>
        </w:trPr>
        <w:tc>
          <w:tcPr>
            <w:tcW w:type="dxa" w:w="2100"/>
            <w:tcMar>
              <w:top w:w="80" w:type="dxa"/>
              <w:start w:w="120" w:type="dxa"/>
              <w:bottom w:w="80" w:type="dxa"/>
              <w:end w:w="120" w:type="dxa"/>
            </w:tcMar>
          </w:tcPr>
          <w:p>
            <w:pPr>
              <w:spacing w:after="0"/>
            </w:pPr>
            <w:r>
              <w:rPr>
                <w:rFonts w:ascii="Calibri" w:hAnsi="Calibri"/>
                <w:color w:val="000000"/>
                <w:sz w:val="18"/>
              </w:rPr>
              <w:t>Access control</w:t>
            </w:r>
          </w:p>
        </w:tc>
        <w:tc>
          <w:tcPr>
            <w:tcW w:type="dxa" w:w="7260"/>
            <w:tcMar>
              <w:top w:w="80" w:type="dxa"/>
              <w:start w:w="120" w:type="dxa"/>
              <w:bottom w:w="80" w:type="dxa"/>
              <w:end w:w="120" w:type="dxa"/>
            </w:tcMar>
          </w:tcPr>
          <w:p>
            <w:pPr>
              <w:spacing w:after="0"/>
            </w:pPr>
            <w:r>
              <w:rPr>
                <w:rFonts w:ascii="Calibri" w:hAnsi="Calibri"/>
                <w:color w:val="000000"/>
                <w:sz w:val="18"/>
              </w:rPr>
              <w:t>Role-based access for source data, projects, release packages, and export functions.</w:t>
            </w:r>
          </w:p>
        </w:tc>
      </w:tr>
      <w:tr>
        <w:trPr>
          <w:cantSplit w:val="true"/>
        </w:trPr>
        <w:tc>
          <w:tcPr>
            <w:tcW w:type="dxa" w:w="2100"/>
            <w:tcMar>
              <w:top w:w="80" w:type="dxa"/>
              <w:start w:w="120" w:type="dxa"/>
              <w:bottom w:w="80" w:type="dxa"/>
              <w:end w:w="120" w:type="dxa"/>
            </w:tcMar>
          </w:tcPr>
          <w:p>
            <w:pPr>
              <w:spacing w:after="0"/>
            </w:pPr>
            <w:r>
              <w:rPr>
                <w:rFonts w:ascii="Calibri" w:hAnsi="Calibri"/>
                <w:color w:val="000000"/>
                <w:sz w:val="18"/>
              </w:rPr>
              <w:t>Auditability</w:t>
            </w:r>
          </w:p>
        </w:tc>
        <w:tc>
          <w:tcPr>
            <w:tcW w:type="dxa" w:w="7260"/>
            <w:tcMar>
              <w:top w:w="80" w:type="dxa"/>
              <w:start w:w="120" w:type="dxa"/>
              <w:bottom w:w="80" w:type="dxa"/>
              <w:end w:w="120" w:type="dxa"/>
            </w:tcMar>
          </w:tcPr>
          <w:p>
            <w:pPr>
              <w:spacing w:after="0"/>
            </w:pPr>
            <w:r>
              <w:rPr>
                <w:rFonts w:ascii="Calibri" w:hAnsi="Calibri"/>
                <w:color w:val="000000"/>
                <w:sz w:val="18"/>
              </w:rPr>
              <w:t>Record who generated, changed, reviewed, exported, or released every design artifact.</w:t>
            </w:r>
          </w:p>
        </w:tc>
      </w:tr>
      <w:tr>
        <w:trPr>
          <w:cantSplit w:val="true"/>
        </w:trPr>
        <w:tc>
          <w:tcPr>
            <w:tcW w:type="dxa" w:w="2100"/>
            <w:tcMar>
              <w:top w:w="80" w:type="dxa"/>
              <w:start w:w="120" w:type="dxa"/>
              <w:bottom w:w="80" w:type="dxa"/>
              <w:end w:w="120" w:type="dxa"/>
            </w:tcMar>
          </w:tcPr>
          <w:p>
            <w:pPr>
              <w:spacing w:after="0"/>
            </w:pPr>
            <w:r>
              <w:rPr>
                <w:rFonts w:ascii="Calibri" w:hAnsi="Calibri"/>
                <w:color w:val="000000"/>
                <w:sz w:val="18"/>
              </w:rPr>
              <w:t>Export control</w:t>
            </w:r>
          </w:p>
        </w:tc>
        <w:tc>
          <w:tcPr>
            <w:tcW w:type="dxa" w:w="7260"/>
            <w:tcMar>
              <w:top w:w="80" w:type="dxa"/>
              <w:start w:w="120" w:type="dxa"/>
              <w:bottom w:w="80" w:type="dxa"/>
              <w:end w:w="120" w:type="dxa"/>
            </w:tcMar>
          </w:tcPr>
          <w:p>
            <w:pPr>
              <w:spacing w:after="0"/>
            </w:pPr>
            <w:r>
              <w:rPr>
                <w:rFonts w:ascii="Calibri" w:hAnsi="Calibri"/>
                <w:color w:val="000000"/>
                <w:sz w:val="18"/>
              </w:rPr>
              <w:t>Flag propulsion design data for jurisdiction-specific legal review before external sharing.</w:t>
            </w:r>
          </w:p>
        </w:tc>
      </w:tr>
      <w:tr>
        <w:trPr>
          <w:cantSplit w:val="true"/>
        </w:trPr>
        <w:tc>
          <w:tcPr>
            <w:tcW w:type="dxa" w:w="2100"/>
            <w:tcMar>
              <w:top w:w="80" w:type="dxa"/>
              <w:start w:w="120" w:type="dxa"/>
              <w:bottom w:w="80" w:type="dxa"/>
              <w:end w:w="120" w:type="dxa"/>
            </w:tcMar>
          </w:tcPr>
          <w:p>
            <w:pPr>
              <w:spacing w:after="0"/>
            </w:pPr>
            <w:r>
              <w:rPr>
                <w:rFonts w:ascii="Calibri" w:hAnsi="Calibri"/>
                <w:color w:val="000000"/>
                <w:sz w:val="18"/>
              </w:rPr>
              <w:t>Clean-room posture</w:t>
            </w:r>
          </w:p>
        </w:tc>
        <w:tc>
          <w:tcPr>
            <w:tcW w:type="dxa" w:w="7260"/>
            <w:tcMar>
              <w:top w:w="80" w:type="dxa"/>
              <w:start w:w="120" w:type="dxa"/>
              <w:bottom w:w="80" w:type="dxa"/>
              <w:end w:w="120" w:type="dxa"/>
            </w:tcMar>
          </w:tcPr>
          <w:p>
            <w:pPr>
              <w:spacing w:after="0"/>
            </w:pPr>
            <w:r>
              <w:rPr>
                <w:rFonts w:ascii="Calibri" w:hAnsi="Calibri"/>
                <w:color w:val="000000"/>
                <w:sz w:val="18"/>
              </w:rPr>
              <w:t>Do not reverse-engineer external proprietary computational-engineering products.</w:t>
            </w:r>
          </w:p>
        </w:tc>
      </w:tr>
    </w:tbl>
    <w:p>
      <w:pPr>
        <w:spacing w:before="0" w:after="40" w:line="240" w:lineRule="auto"/>
      </w:pPr>
      <w:r>
        <w:rPr>
          <w:rFonts w:ascii="Calibri" w:hAnsi="Calibri"/>
          <w:sz w:val="2"/>
        </w:rPr>
        <w:t xml:space="preserve"> </w:t>
      </w:r>
    </w:p>
    <w:p>
      <w:pPr>
        <w:pStyle w:val="Heading1"/>
      </w:pPr>
      <w:r>
        <w:t>14. API and Interoperability Strategy</w:t>
      </w:r>
    </w:p>
    <w:p>
      <w:r>
        <w:t>COSMOS shall interoperate with major engineering tools through neutral formats and adapter packages. The goal is not to replace every high-fidelity solver immediately, but to generate complete, traceable case packages and to ingest their results.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tblHeader w:val="true"/>
          <w:cantSplit w:val="true"/>
        </w:trPr>
        <w:tc>
          <w:tcPr>
            <w:tcW w:type="dxa" w:w="2300"/>
            <w:vAlign w:val="center"/>
            <w:tcMar>
              <w:top w:w="80" w:type="dxa"/>
              <w:start w:w="120" w:type="dxa"/>
              <w:bottom w:w="80" w:type="dxa"/>
              <w:end w:w="120" w:type="dxa"/>
            </w:tcMar>
            <w:shd w:fill="F2F4F7"/>
          </w:tcPr>
          <w:p>
            <w:pPr>
              <w:spacing w:after="0"/>
            </w:pPr>
            <w:r>
              <w:rPr>
                <w:rFonts w:ascii="Calibri" w:hAnsi="Calibri"/>
                <w:b/>
                <w:color w:val="0B2545"/>
                <w:sz w:val="18"/>
              </w:rPr>
              <w:t>Artifact</w:t>
            </w:r>
          </w:p>
        </w:tc>
        <w:tc>
          <w:tcPr>
            <w:tcW w:type="dxa" w:w="7060"/>
            <w:vAlign w:val="center"/>
            <w:tcMar>
              <w:top w:w="80" w:type="dxa"/>
              <w:start w:w="120" w:type="dxa"/>
              <w:bottom w:w="80" w:type="dxa"/>
              <w:end w:w="120" w:type="dxa"/>
            </w:tcMar>
            <w:shd w:fill="F2F4F7"/>
          </w:tcPr>
          <w:p>
            <w:pPr>
              <w:spacing w:after="0"/>
            </w:pPr>
            <w:r>
              <w:rPr>
                <w:rFonts w:ascii="Calibri" w:hAnsi="Calibri"/>
                <w:b/>
                <w:color w:val="0B2545"/>
                <w:sz w:val="18"/>
              </w:rPr>
              <w:t>Preferred Formats</w:t>
            </w:r>
          </w:p>
        </w:tc>
      </w:tr>
      <w:tr>
        <w:trPr>
          <w:cantSplit w:val="true"/>
        </w:trPr>
        <w:tc>
          <w:tcPr>
            <w:tcW w:type="dxa" w:w="2300"/>
            <w:tcMar>
              <w:top w:w="80" w:type="dxa"/>
              <w:start w:w="120" w:type="dxa"/>
              <w:bottom w:w="80" w:type="dxa"/>
              <w:end w:w="120" w:type="dxa"/>
            </w:tcMar>
          </w:tcPr>
          <w:p>
            <w:pPr>
              <w:spacing w:after="0"/>
            </w:pPr>
            <w:r>
              <w:rPr>
                <w:rFonts w:ascii="Calibri" w:hAnsi="Calibri"/>
                <w:color w:val="000000"/>
                <w:sz w:val="18"/>
              </w:rPr>
              <w:t>CAD solids</w:t>
            </w:r>
          </w:p>
        </w:tc>
        <w:tc>
          <w:tcPr>
            <w:tcW w:type="dxa" w:w="7060"/>
            <w:tcMar>
              <w:top w:w="80" w:type="dxa"/>
              <w:start w:w="120" w:type="dxa"/>
              <w:bottom w:w="80" w:type="dxa"/>
              <w:end w:w="120" w:type="dxa"/>
            </w:tcMar>
          </w:tcPr>
          <w:p>
            <w:pPr>
              <w:spacing w:after="0"/>
            </w:pPr>
            <w:r>
              <w:rPr>
                <w:rFonts w:ascii="Calibri" w:hAnsi="Calibri"/>
                <w:color w:val="000000"/>
                <w:sz w:val="18"/>
              </w:rPr>
              <w:t>STEP AP242, STEP AP214, IGES, Parasolid where licensed</w:t>
            </w:r>
          </w:p>
        </w:tc>
      </w:tr>
      <w:tr>
        <w:trPr>
          <w:cantSplit w:val="true"/>
        </w:trPr>
        <w:tc>
          <w:tcPr>
            <w:tcW w:type="dxa" w:w="2300"/>
            <w:tcMar>
              <w:top w:w="80" w:type="dxa"/>
              <w:start w:w="120" w:type="dxa"/>
              <w:bottom w:w="80" w:type="dxa"/>
              <w:end w:w="120" w:type="dxa"/>
            </w:tcMar>
          </w:tcPr>
          <w:p>
            <w:pPr>
              <w:spacing w:after="0"/>
            </w:pPr>
            <w:r>
              <w:rPr>
                <w:rFonts w:ascii="Calibri" w:hAnsi="Calibri"/>
                <w:color w:val="000000"/>
                <w:sz w:val="18"/>
              </w:rPr>
              <w:t>Mesh</w:t>
            </w:r>
          </w:p>
        </w:tc>
        <w:tc>
          <w:tcPr>
            <w:tcW w:type="dxa" w:w="7060"/>
            <w:tcMar>
              <w:top w:w="80" w:type="dxa"/>
              <w:start w:w="120" w:type="dxa"/>
              <w:bottom w:w="80" w:type="dxa"/>
              <w:end w:w="120" w:type="dxa"/>
            </w:tcMar>
          </w:tcPr>
          <w:p>
            <w:pPr>
              <w:spacing w:after="0"/>
            </w:pPr>
            <w:r>
              <w:rPr>
                <w:rFonts w:ascii="Calibri" w:hAnsi="Calibri"/>
                <w:color w:val="000000"/>
                <w:sz w:val="18"/>
              </w:rPr>
              <w:t>CGNS, Gmsh MSH, SU2, VTK/VTU, Nastran BDF, Abaqus INP, Ansys CDB</w:t>
            </w:r>
          </w:p>
        </w:tc>
      </w:tr>
      <w:tr>
        <w:trPr>
          <w:cantSplit w:val="true"/>
        </w:trPr>
        <w:tc>
          <w:tcPr>
            <w:tcW w:type="dxa" w:w="2300"/>
            <w:tcMar>
              <w:top w:w="80" w:type="dxa"/>
              <w:start w:w="120" w:type="dxa"/>
              <w:bottom w:w="80" w:type="dxa"/>
              <w:end w:w="120" w:type="dxa"/>
            </w:tcMar>
          </w:tcPr>
          <w:p>
            <w:pPr>
              <w:spacing w:after="0"/>
            </w:pPr>
            <w:r>
              <w:rPr>
                <w:rFonts w:ascii="Calibri" w:hAnsi="Calibri"/>
                <w:color w:val="000000"/>
                <w:sz w:val="18"/>
              </w:rPr>
              <w:t>OpenFOAM</w:t>
            </w:r>
          </w:p>
        </w:tc>
        <w:tc>
          <w:tcPr>
            <w:tcW w:type="dxa" w:w="7060"/>
            <w:tcMar>
              <w:top w:w="80" w:type="dxa"/>
              <w:start w:w="120" w:type="dxa"/>
              <w:bottom w:w="80" w:type="dxa"/>
              <w:end w:w="120" w:type="dxa"/>
            </w:tcMar>
          </w:tcPr>
          <w:p>
            <w:pPr>
              <w:spacing w:after="0"/>
            </w:pPr>
            <w:r>
              <w:rPr>
                <w:rFonts w:ascii="Calibri" w:hAnsi="Calibri"/>
                <w:color w:val="000000"/>
                <w:sz w:val="18"/>
              </w:rPr>
              <w:t>OpenFOAM case folders with boundary, system, constant directories</w:t>
            </w:r>
          </w:p>
        </w:tc>
      </w:tr>
      <w:tr>
        <w:trPr>
          <w:cantSplit w:val="true"/>
        </w:trPr>
        <w:tc>
          <w:tcPr>
            <w:tcW w:type="dxa" w:w="2300"/>
            <w:tcMar>
              <w:top w:w="80" w:type="dxa"/>
              <w:start w:w="120" w:type="dxa"/>
              <w:bottom w:w="80" w:type="dxa"/>
              <w:end w:w="120" w:type="dxa"/>
            </w:tcMar>
          </w:tcPr>
          <w:p>
            <w:pPr>
              <w:spacing w:after="0"/>
            </w:pPr>
            <w:r>
              <w:rPr>
                <w:rFonts w:ascii="Calibri" w:hAnsi="Calibri"/>
                <w:color w:val="000000"/>
                <w:sz w:val="18"/>
              </w:rPr>
              <w:t>CFD/FEA results</w:t>
            </w:r>
          </w:p>
        </w:tc>
        <w:tc>
          <w:tcPr>
            <w:tcW w:type="dxa" w:w="7060"/>
            <w:tcMar>
              <w:top w:w="80" w:type="dxa"/>
              <w:start w:w="120" w:type="dxa"/>
              <w:bottom w:w="80" w:type="dxa"/>
              <w:end w:w="120" w:type="dxa"/>
            </w:tcMar>
          </w:tcPr>
          <w:p>
            <w:pPr>
              <w:spacing w:after="0"/>
            </w:pPr>
            <w:r>
              <w:rPr>
                <w:rFonts w:ascii="Calibri" w:hAnsi="Calibri"/>
                <w:color w:val="000000"/>
                <w:sz w:val="18"/>
              </w:rPr>
              <w:t>VTK/VTU, CGNS, CSV summaries, HDF5/Zarr field data, JSON metadata</w:t>
            </w:r>
          </w:p>
        </w:tc>
      </w:tr>
      <w:tr>
        <w:trPr>
          <w:cantSplit w:val="true"/>
        </w:trPr>
        <w:tc>
          <w:tcPr>
            <w:tcW w:type="dxa" w:w="2300"/>
            <w:tcMar>
              <w:top w:w="80" w:type="dxa"/>
              <w:start w:w="120" w:type="dxa"/>
              <w:bottom w:w="80" w:type="dxa"/>
              <w:end w:w="120" w:type="dxa"/>
            </w:tcMar>
          </w:tcPr>
          <w:p>
            <w:pPr>
              <w:spacing w:after="0"/>
            </w:pPr>
            <w:r>
              <w:rPr>
                <w:rFonts w:ascii="Calibri" w:hAnsi="Calibri"/>
                <w:color w:val="000000"/>
                <w:sz w:val="18"/>
              </w:rPr>
              <w:t>Print preparation</w:t>
            </w:r>
          </w:p>
        </w:tc>
        <w:tc>
          <w:tcPr>
            <w:tcW w:type="dxa" w:w="7060"/>
            <w:tcMar>
              <w:top w:w="80" w:type="dxa"/>
              <w:start w:w="120" w:type="dxa"/>
              <w:bottom w:w="80" w:type="dxa"/>
              <w:end w:w="120" w:type="dxa"/>
            </w:tcMar>
          </w:tcPr>
          <w:p>
            <w:pPr>
              <w:spacing w:after="0"/>
            </w:pPr>
            <w:r>
              <w:rPr>
                <w:rFonts w:ascii="Calibri" w:hAnsi="Calibri"/>
                <w:color w:val="000000"/>
                <w:sz w:val="18"/>
              </w:rPr>
              <w:t>3MF preferred, STL only as final mesh export after release gate</w:t>
            </w:r>
          </w:p>
        </w:tc>
      </w:tr>
      <w:tr>
        <w:trPr>
          <w:cantSplit w:val="true"/>
        </w:trPr>
        <w:tc>
          <w:tcPr>
            <w:tcW w:type="dxa" w:w="2300"/>
            <w:tcMar>
              <w:top w:w="80" w:type="dxa"/>
              <w:start w:w="120" w:type="dxa"/>
              <w:bottom w:w="80" w:type="dxa"/>
              <w:end w:w="120" w:type="dxa"/>
            </w:tcMar>
          </w:tcPr>
          <w:p>
            <w:pPr>
              <w:spacing w:after="0"/>
            </w:pPr>
            <w:r>
              <w:rPr>
                <w:rFonts w:ascii="Calibri" w:hAnsi="Calibri"/>
                <w:color w:val="000000"/>
                <w:sz w:val="18"/>
              </w:rPr>
              <w:t>Documentation</w:t>
            </w:r>
          </w:p>
        </w:tc>
        <w:tc>
          <w:tcPr>
            <w:tcW w:type="dxa" w:w="7060"/>
            <w:tcMar>
              <w:top w:w="80" w:type="dxa"/>
              <w:start w:w="120" w:type="dxa"/>
              <w:bottom w:w="80" w:type="dxa"/>
              <w:end w:w="120" w:type="dxa"/>
            </w:tcMar>
          </w:tcPr>
          <w:p>
            <w:pPr>
              <w:spacing w:after="0"/>
            </w:pPr>
            <w:r>
              <w:rPr>
                <w:rFonts w:ascii="Calibri" w:hAnsi="Calibri"/>
                <w:color w:val="000000"/>
                <w:sz w:val="18"/>
              </w:rPr>
              <w:t>DOCX, PDF, Markdown, JSON evidence bundle</w:t>
            </w:r>
          </w:p>
        </w:tc>
      </w:tr>
      <w:tr>
        <w:trPr>
          <w:cantSplit w:val="true"/>
        </w:trPr>
        <w:tc>
          <w:tcPr>
            <w:tcW w:type="dxa" w:w="2300"/>
            <w:tcMar>
              <w:top w:w="80" w:type="dxa"/>
              <w:start w:w="120" w:type="dxa"/>
              <w:bottom w:w="80" w:type="dxa"/>
              <w:end w:w="120" w:type="dxa"/>
            </w:tcMar>
          </w:tcPr>
          <w:p>
            <w:pPr>
              <w:spacing w:after="0"/>
            </w:pPr>
            <w:r>
              <w:rPr>
                <w:rFonts w:ascii="Calibri" w:hAnsi="Calibri"/>
                <w:color w:val="000000"/>
                <w:sz w:val="18"/>
              </w:rPr>
              <w:t>Project archive</w:t>
            </w:r>
          </w:p>
        </w:tc>
        <w:tc>
          <w:tcPr>
            <w:tcW w:type="dxa" w:w="7060"/>
            <w:tcMar>
              <w:top w:w="80" w:type="dxa"/>
              <w:start w:w="120" w:type="dxa"/>
              <w:bottom w:w="80" w:type="dxa"/>
              <w:end w:w="120" w:type="dxa"/>
            </w:tcMar>
          </w:tcPr>
          <w:p>
            <w:pPr>
              <w:spacing w:after="0"/>
            </w:pPr>
            <w:r>
              <w:rPr>
                <w:rFonts w:ascii="Calibri" w:hAnsi="Calibri"/>
                <w:color w:val="000000"/>
                <w:sz w:val="18"/>
              </w:rPr>
              <w:t>COSMOS project package with manifest, checksums, versions, and dependency lock</w:t>
            </w:r>
          </w:p>
        </w:tc>
      </w:tr>
    </w:tbl>
    <w:p>
      <w:pPr>
        <w:spacing w:before="0" w:after="40" w:line="240" w:lineRule="auto"/>
      </w:pPr>
      <w:r>
        <w:rPr>
          <w:rFonts w:ascii="Calibri" w:hAnsi="Calibri"/>
          <w:sz w:val="2"/>
        </w:rPr>
        <w:t xml:space="preserve"> </w:t>
      </w:r>
    </w:p>
    <w:p>
      <w:pPr>
        <w:pStyle w:val="Heading1"/>
      </w:pPr>
      <w:r>
        <w:t>15. Quality, Verification, and Scientific Credibility</w:t>
      </w:r>
    </w:p>
    <w:p>
      <w:r>
        <w:t>The software cannot become world-class unless its validation is treated as a first-class subsystem. COSMOS must distinguish between conceptual design, preliminary design, analysis-ready geometry, externally validated design, and manufacturing release. Passing a calculation is not the same as being safe to manufacture.</w:t>
      </w:r>
    </w:p>
    <w:tbl>
      <w:tblPr>
        <w:tblStyle w:val="TableGrid"/>
        <w:tblW w:type="dxa" w:w="9360"/>
        <w:jc w:val="left"/>
        <w:tblLook w:firstColumn="1" w:firstRow="1" w:lastColumn="0" w:lastRow="0" w:noHBand="0" w:noVBand="1" w:val="04A0"/>
        <w:tblInd w:w="120" w:type="dxa"/>
        <w:tblLayout w:type="fixed"/>
      </w:tblPr>
      <w:tblGrid>
        <w:gridCol w:w="1900"/>
        <w:gridCol w:w="7460"/>
      </w:tblGrid>
      <w:tr>
        <w:trPr>
          <w:tblHeader w:val="true"/>
          <w:cantSplit w:val="true"/>
        </w:trPr>
        <w:tc>
          <w:tcPr>
            <w:tcW w:type="dxa" w:w="1900"/>
            <w:vAlign w:val="center"/>
            <w:tcMar>
              <w:top w:w="80" w:type="dxa"/>
              <w:start w:w="120" w:type="dxa"/>
              <w:bottom w:w="80" w:type="dxa"/>
              <w:end w:w="120" w:type="dxa"/>
            </w:tcMar>
            <w:shd w:fill="F2F4F7"/>
          </w:tcPr>
          <w:p>
            <w:pPr>
              <w:spacing w:after="0"/>
            </w:pPr>
            <w:r>
              <w:rPr>
                <w:rFonts w:ascii="Calibri" w:hAnsi="Calibri"/>
                <w:b/>
                <w:color w:val="0B2545"/>
                <w:sz w:val="18"/>
              </w:rPr>
              <w:t>Quality Gate</w:t>
            </w:r>
          </w:p>
        </w:tc>
        <w:tc>
          <w:tcPr>
            <w:tcW w:type="dxa" w:w="7460"/>
            <w:vAlign w:val="center"/>
            <w:tcMar>
              <w:top w:w="80" w:type="dxa"/>
              <w:start w:w="120" w:type="dxa"/>
              <w:bottom w:w="80" w:type="dxa"/>
              <w:end w:w="120" w:type="dxa"/>
            </w:tcMar>
            <w:shd w:fill="F2F4F7"/>
          </w:tcPr>
          <w:p>
            <w:pPr>
              <w:spacing w:after="0"/>
            </w:pPr>
            <w:r>
              <w:rPr>
                <w:rFonts w:ascii="Calibri" w:hAnsi="Calibri"/>
                <w:b/>
                <w:color w:val="0B2545"/>
                <w:sz w:val="18"/>
              </w:rPr>
              <w:t>Required Evidence</w:t>
            </w:r>
          </w:p>
        </w:tc>
      </w:tr>
      <w:tr>
        <w:trPr>
          <w:cantSplit w:val="true"/>
        </w:trPr>
        <w:tc>
          <w:tcPr>
            <w:tcW w:type="dxa" w:w="1900"/>
            <w:tcMar>
              <w:top w:w="80" w:type="dxa"/>
              <w:start w:w="120" w:type="dxa"/>
              <w:bottom w:w="80" w:type="dxa"/>
              <w:end w:w="120" w:type="dxa"/>
            </w:tcMar>
          </w:tcPr>
          <w:p>
            <w:pPr>
              <w:spacing w:after="0"/>
            </w:pPr>
            <w:r>
              <w:rPr>
                <w:rFonts w:ascii="Calibri" w:hAnsi="Calibri"/>
                <w:color w:val="000000"/>
                <w:sz w:val="18"/>
              </w:rPr>
              <w:t>Code quality</w:t>
            </w:r>
          </w:p>
        </w:tc>
        <w:tc>
          <w:tcPr>
            <w:tcW w:type="dxa" w:w="7460"/>
            <w:tcMar>
              <w:top w:w="80" w:type="dxa"/>
              <w:start w:w="120" w:type="dxa"/>
              <w:bottom w:w="80" w:type="dxa"/>
              <w:end w:w="120" w:type="dxa"/>
            </w:tcMar>
          </w:tcPr>
          <w:p>
            <w:pPr>
              <w:spacing w:after="0"/>
            </w:pPr>
            <w:r>
              <w:rPr>
                <w:rFonts w:ascii="Calibri" w:hAnsi="Calibri"/>
                <w:color w:val="000000"/>
                <w:sz w:val="18"/>
              </w:rPr>
              <w:t>Compile, lint, type-check, unit tests, integration tests, coverage trend</w:t>
            </w:r>
          </w:p>
        </w:tc>
      </w:tr>
      <w:tr>
        <w:trPr>
          <w:cantSplit w:val="true"/>
        </w:trPr>
        <w:tc>
          <w:tcPr>
            <w:tcW w:type="dxa" w:w="1900"/>
            <w:tcMar>
              <w:top w:w="80" w:type="dxa"/>
              <w:start w:w="120" w:type="dxa"/>
              <w:bottom w:w="80" w:type="dxa"/>
              <w:end w:w="120" w:type="dxa"/>
            </w:tcMar>
          </w:tcPr>
          <w:p>
            <w:pPr>
              <w:spacing w:after="0"/>
            </w:pPr>
            <w:r>
              <w:rPr>
                <w:rFonts w:ascii="Calibri" w:hAnsi="Calibri"/>
                <w:color w:val="000000"/>
                <w:sz w:val="18"/>
              </w:rPr>
              <w:t>Numerical safety</w:t>
            </w:r>
          </w:p>
        </w:tc>
        <w:tc>
          <w:tcPr>
            <w:tcW w:type="dxa" w:w="7460"/>
            <w:tcMar>
              <w:top w:w="80" w:type="dxa"/>
              <w:start w:w="120" w:type="dxa"/>
              <w:bottom w:w="80" w:type="dxa"/>
              <w:end w:w="120" w:type="dxa"/>
            </w:tcMar>
          </w:tcPr>
          <w:p>
            <w:pPr>
              <w:spacing w:after="0"/>
            </w:pPr>
            <w:r>
              <w:rPr>
                <w:rFonts w:ascii="Calibri" w:hAnsi="Calibri"/>
                <w:color w:val="000000"/>
                <w:sz w:val="18"/>
              </w:rPr>
              <w:t>Finite-number checks, units, dimensions, bounds, operating ranges</w:t>
            </w:r>
          </w:p>
        </w:tc>
      </w:tr>
      <w:tr>
        <w:trPr>
          <w:cantSplit w:val="true"/>
        </w:trPr>
        <w:tc>
          <w:tcPr>
            <w:tcW w:type="dxa" w:w="1900"/>
            <w:tcMar>
              <w:top w:w="80" w:type="dxa"/>
              <w:start w:w="120" w:type="dxa"/>
              <w:bottom w:w="80" w:type="dxa"/>
              <w:end w:w="120" w:type="dxa"/>
            </w:tcMar>
          </w:tcPr>
          <w:p>
            <w:pPr>
              <w:spacing w:after="0"/>
            </w:pPr>
            <w:r>
              <w:rPr>
                <w:rFonts w:ascii="Calibri" w:hAnsi="Calibri"/>
                <w:color w:val="000000"/>
                <w:sz w:val="18"/>
              </w:rPr>
              <w:t>Equation verification</w:t>
            </w:r>
          </w:p>
        </w:tc>
        <w:tc>
          <w:tcPr>
            <w:tcW w:type="dxa" w:w="7460"/>
            <w:tcMar>
              <w:top w:w="80" w:type="dxa"/>
              <w:start w:w="120" w:type="dxa"/>
              <w:bottom w:w="80" w:type="dxa"/>
              <w:end w:w="120" w:type="dxa"/>
            </w:tcMar>
          </w:tcPr>
          <w:p>
            <w:pPr>
              <w:spacing w:after="0"/>
            </w:pPr>
            <w:r>
              <w:rPr>
                <w:rFonts w:ascii="Calibri" w:hAnsi="Calibri"/>
                <w:color w:val="000000"/>
                <w:sz w:val="18"/>
              </w:rPr>
              <w:t>Known examples, source reproduction, independent derivation checks</w:t>
            </w:r>
          </w:p>
        </w:tc>
      </w:tr>
      <w:tr>
        <w:trPr>
          <w:cantSplit w:val="true"/>
        </w:trPr>
        <w:tc>
          <w:tcPr>
            <w:tcW w:type="dxa" w:w="1900"/>
            <w:tcMar>
              <w:top w:w="80" w:type="dxa"/>
              <w:start w:w="120" w:type="dxa"/>
              <w:bottom w:w="80" w:type="dxa"/>
              <w:end w:w="120" w:type="dxa"/>
            </w:tcMar>
          </w:tcPr>
          <w:p>
            <w:pPr>
              <w:spacing w:after="0"/>
            </w:pPr>
            <w:r>
              <w:rPr>
                <w:rFonts w:ascii="Calibri" w:hAnsi="Calibri"/>
                <w:color w:val="000000"/>
                <w:sz w:val="18"/>
              </w:rPr>
              <w:t>Solver validation</w:t>
            </w:r>
          </w:p>
        </w:tc>
        <w:tc>
          <w:tcPr>
            <w:tcW w:type="dxa" w:w="7460"/>
            <w:tcMar>
              <w:top w:w="80" w:type="dxa"/>
              <w:start w:w="120" w:type="dxa"/>
              <w:bottom w:w="80" w:type="dxa"/>
              <w:end w:w="120" w:type="dxa"/>
            </w:tcMar>
          </w:tcPr>
          <w:p>
            <w:pPr>
              <w:spacing w:after="0"/>
            </w:pPr>
            <w:r>
              <w:rPr>
                <w:rFonts w:ascii="Calibri" w:hAnsi="Calibri"/>
                <w:color w:val="000000"/>
                <w:sz w:val="18"/>
              </w:rPr>
              <w:t>Benchmark data, external solver comparison, uncertainty ranges</w:t>
            </w:r>
          </w:p>
        </w:tc>
      </w:tr>
      <w:tr>
        <w:trPr>
          <w:cantSplit w:val="true"/>
        </w:trPr>
        <w:tc>
          <w:tcPr>
            <w:tcW w:type="dxa" w:w="1900"/>
            <w:tcMar>
              <w:top w:w="80" w:type="dxa"/>
              <w:start w:w="120" w:type="dxa"/>
              <w:bottom w:w="80" w:type="dxa"/>
              <w:end w:w="120" w:type="dxa"/>
            </w:tcMar>
          </w:tcPr>
          <w:p>
            <w:pPr>
              <w:spacing w:after="0"/>
            </w:pPr>
            <w:r>
              <w:rPr>
                <w:rFonts w:ascii="Calibri" w:hAnsi="Calibri"/>
                <w:color w:val="000000"/>
                <w:sz w:val="18"/>
              </w:rPr>
              <w:t>CAD validation</w:t>
            </w:r>
          </w:p>
        </w:tc>
        <w:tc>
          <w:tcPr>
            <w:tcW w:type="dxa" w:w="7460"/>
            <w:tcMar>
              <w:top w:w="80" w:type="dxa"/>
              <w:start w:w="120" w:type="dxa"/>
              <w:bottom w:w="80" w:type="dxa"/>
              <w:end w:w="120" w:type="dxa"/>
            </w:tcMar>
          </w:tcPr>
          <w:p>
            <w:pPr>
              <w:spacing w:after="0"/>
            </w:pPr>
            <w:r>
              <w:rPr>
                <w:rFonts w:ascii="Calibri" w:hAnsi="Calibri"/>
                <w:color w:val="000000"/>
                <w:sz w:val="18"/>
              </w:rPr>
              <w:t>Watertight solids, feature integrity, wall thickness, interference, manufacturability</w:t>
            </w:r>
          </w:p>
        </w:tc>
      </w:tr>
      <w:tr>
        <w:trPr>
          <w:cantSplit w:val="true"/>
        </w:trPr>
        <w:tc>
          <w:tcPr>
            <w:tcW w:type="dxa" w:w="1900"/>
            <w:tcMar>
              <w:top w:w="80" w:type="dxa"/>
              <w:start w:w="120" w:type="dxa"/>
              <w:bottom w:w="80" w:type="dxa"/>
              <w:end w:w="120" w:type="dxa"/>
            </w:tcMar>
          </w:tcPr>
          <w:p>
            <w:pPr>
              <w:spacing w:after="0"/>
            </w:pPr>
            <w:r>
              <w:rPr>
                <w:rFonts w:ascii="Calibri" w:hAnsi="Calibri"/>
                <w:color w:val="000000"/>
                <w:sz w:val="18"/>
              </w:rPr>
              <w:t>Mesh validation</w:t>
            </w:r>
          </w:p>
        </w:tc>
        <w:tc>
          <w:tcPr>
            <w:tcW w:type="dxa" w:w="7460"/>
            <w:tcMar>
              <w:top w:w="80" w:type="dxa"/>
              <w:start w:w="120" w:type="dxa"/>
              <w:bottom w:w="80" w:type="dxa"/>
              <w:end w:w="120" w:type="dxa"/>
            </w:tcMar>
          </w:tcPr>
          <w:p>
            <w:pPr>
              <w:spacing w:after="0"/>
            </w:pPr>
            <w:r>
              <w:rPr>
                <w:rFonts w:ascii="Calibri" w:hAnsi="Calibri"/>
                <w:color w:val="000000"/>
                <w:sz w:val="18"/>
              </w:rPr>
              <w:t>Mesh quality, named boundaries, unit consistency, reproducible case generation</w:t>
            </w:r>
          </w:p>
        </w:tc>
      </w:tr>
      <w:tr>
        <w:trPr>
          <w:cantSplit w:val="true"/>
        </w:trPr>
        <w:tc>
          <w:tcPr>
            <w:tcW w:type="dxa" w:w="1900"/>
            <w:tcMar>
              <w:top w:w="80" w:type="dxa"/>
              <w:start w:w="120" w:type="dxa"/>
              <w:bottom w:w="80" w:type="dxa"/>
              <w:end w:w="120" w:type="dxa"/>
            </w:tcMar>
          </w:tcPr>
          <w:p>
            <w:pPr>
              <w:spacing w:after="0"/>
            </w:pPr>
            <w:r>
              <w:rPr>
                <w:rFonts w:ascii="Calibri" w:hAnsi="Calibri"/>
                <w:color w:val="000000"/>
                <w:sz w:val="18"/>
              </w:rPr>
              <w:t>External review</w:t>
            </w:r>
          </w:p>
        </w:tc>
        <w:tc>
          <w:tcPr>
            <w:tcW w:type="dxa" w:w="7460"/>
            <w:tcMar>
              <w:top w:w="80" w:type="dxa"/>
              <w:start w:w="120" w:type="dxa"/>
              <w:bottom w:w="80" w:type="dxa"/>
              <w:end w:w="120" w:type="dxa"/>
            </w:tcMar>
          </w:tcPr>
          <w:p>
            <w:pPr>
              <w:spacing w:after="0"/>
            </w:pPr>
            <w:r>
              <w:rPr>
                <w:rFonts w:ascii="Calibri" w:hAnsi="Calibri"/>
                <w:color w:val="000000"/>
                <w:sz w:val="18"/>
              </w:rPr>
              <w:t>Imported results, comparison deltas, reviewer comments, accepted waivers</w:t>
            </w:r>
          </w:p>
        </w:tc>
      </w:tr>
      <w:tr>
        <w:trPr>
          <w:cantSplit w:val="true"/>
        </w:trPr>
        <w:tc>
          <w:tcPr>
            <w:tcW w:type="dxa" w:w="1900"/>
            <w:tcMar>
              <w:top w:w="80" w:type="dxa"/>
              <w:start w:w="120" w:type="dxa"/>
              <w:bottom w:w="80" w:type="dxa"/>
              <w:end w:w="120" w:type="dxa"/>
            </w:tcMar>
          </w:tcPr>
          <w:p>
            <w:pPr>
              <w:spacing w:after="0"/>
            </w:pPr>
            <w:r>
              <w:rPr>
                <w:rFonts w:ascii="Calibri" w:hAnsi="Calibri"/>
                <w:color w:val="000000"/>
                <w:sz w:val="18"/>
              </w:rPr>
              <w:t>Release control</w:t>
            </w:r>
          </w:p>
        </w:tc>
        <w:tc>
          <w:tcPr>
            <w:tcW w:type="dxa" w:w="7460"/>
            <w:tcMar>
              <w:top w:w="80" w:type="dxa"/>
              <w:start w:w="120" w:type="dxa"/>
              <w:bottom w:w="80" w:type="dxa"/>
              <w:end w:w="120" w:type="dxa"/>
            </w:tcMar>
          </w:tcPr>
          <w:p>
            <w:pPr>
              <w:spacing w:after="0"/>
            </w:pPr>
            <w:r>
              <w:rPr>
                <w:rFonts w:ascii="Calibri" w:hAnsi="Calibri"/>
                <w:color w:val="000000"/>
                <w:sz w:val="18"/>
              </w:rPr>
              <w:t>Open issue closure, human signoff, artifact checksums, final export record</w:t>
            </w:r>
          </w:p>
        </w:tc>
      </w:tr>
    </w:tbl>
    <w:p>
      <w:pPr>
        <w:spacing w:before="0" w:after="40" w:line="240" w:lineRule="auto"/>
      </w:pPr>
      <w:r>
        <w:rPr>
          <w:rFonts w:ascii="Calibri" w:hAnsi="Calibri"/>
          <w:sz w:val="2"/>
        </w:rPr>
        <w:t xml:space="preserve"> </w:t>
      </w:r>
    </w:p>
    <w:p>
      <w:pPr>
        <w:pStyle w:val="Heading2"/>
      </w:pPr>
      <w:r>
        <w:t>15.1 Release State Model</w:t>
      </w:r>
    </w:p>
    <w:tbl>
      <w:tblPr>
        <w:tblStyle w:val="TableGrid"/>
        <w:tblW w:type="dxa" w:w="9360"/>
        <w:jc w:val="left"/>
        <w:tblLook w:firstColumn="1" w:firstRow="1" w:lastColumn="0" w:lastRow="0" w:noHBand="0" w:noVBand="1" w:val="04A0"/>
        <w:tblInd w:w="120" w:type="dxa"/>
        <w:tblLayout w:type="fixed"/>
      </w:tblPr>
      <w:tblGrid>
        <w:gridCol w:w="2200"/>
        <w:gridCol w:w="7160"/>
      </w:tblGrid>
      <w:tr>
        <w:trPr>
          <w:tblHeader w:val="true"/>
          <w:cantSplit w:val="true"/>
        </w:trPr>
        <w:tc>
          <w:tcPr>
            <w:tcW w:type="dxa" w:w="2200"/>
            <w:vAlign w:val="center"/>
            <w:tcMar>
              <w:top w:w="80" w:type="dxa"/>
              <w:start w:w="120" w:type="dxa"/>
              <w:bottom w:w="80" w:type="dxa"/>
              <w:end w:w="120" w:type="dxa"/>
            </w:tcMar>
            <w:shd w:fill="F2F4F7"/>
          </w:tcPr>
          <w:p>
            <w:pPr>
              <w:spacing w:after="0"/>
            </w:pPr>
            <w:r>
              <w:rPr>
                <w:rFonts w:ascii="Calibri" w:hAnsi="Calibri"/>
                <w:b/>
                <w:color w:val="0B2545"/>
                <w:sz w:val="18"/>
              </w:rPr>
              <w:t>State</w:t>
            </w:r>
          </w:p>
        </w:tc>
        <w:tc>
          <w:tcPr>
            <w:tcW w:type="dxa" w:w="7160"/>
            <w:vAlign w:val="center"/>
            <w:tcMar>
              <w:top w:w="80" w:type="dxa"/>
              <w:start w:w="120" w:type="dxa"/>
              <w:bottom w:w="80" w:type="dxa"/>
              <w:end w:w="120" w:type="dxa"/>
            </w:tcMar>
            <w:shd w:fill="F2F4F7"/>
          </w:tcPr>
          <w:p>
            <w:pPr>
              <w:spacing w:after="0"/>
            </w:pPr>
            <w:r>
              <w:rPr>
                <w:rFonts w:ascii="Calibri" w:hAnsi="Calibri"/>
                <w:b/>
                <w:color w:val="0B2545"/>
                <w:sz w:val="18"/>
              </w:rPr>
              <w:t>Meaning</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DRAFT</w:t>
            </w:r>
          </w:p>
        </w:tc>
        <w:tc>
          <w:tcPr>
            <w:tcW w:type="dxa" w:w="7160"/>
            <w:tcMar>
              <w:top w:w="80" w:type="dxa"/>
              <w:start w:w="120" w:type="dxa"/>
              <w:bottom w:w="80" w:type="dxa"/>
              <w:end w:w="120" w:type="dxa"/>
            </w:tcMar>
          </w:tcPr>
          <w:p>
            <w:pPr>
              <w:spacing w:after="0"/>
            </w:pPr>
            <w:r>
              <w:rPr>
                <w:rFonts w:ascii="Calibri" w:hAnsi="Calibri"/>
                <w:color w:val="000000"/>
                <w:sz w:val="18"/>
              </w:rPr>
              <w:t>Requirements or knowledge are incomplete.</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CONCEPTUAL</w:t>
            </w:r>
          </w:p>
        </w:tc>
        <w:tc>
          <w:tcPr>
            <w:tcW w:type="dxa" w:w="7160"/>
            <w:tcMar>
              <w:top w:w="80" w:type="dxa"/>
              <w:start w:w="120" w:type="dxa"/>
              <w:bottom w:w="80" w:type="dxa"/>
              <w:end w:w="120" w:type="dxa"/>
            </w:tcMar>
          </w:tcPr>
          <w:p>
            <w:pPr>
              <w:spacing w:after="0"/>
            </w:pPr>
            <w:r>
              <w:rPr>
                <w:rFonts w:ascii="Calibri" w:hAnsi="Calibri"/>
                <w:color w:val="000000"/>
                <w:sz w:val="18"/>
              </w:rPr>
              <w:t>Preliminary sizing exists, but geometry or analysis is incomplete.</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ANALYSIS_READY</w:t>
            </w:r>
          </w:p>
        </w:tc>
        <w:tc>
          <w:tcPr>
            <w:tcW w:type="dxa" w:w="7160"/>
            <w:tcMar>
              <w:top w:w="80" w:type="dxa"/>
              <w:start w:w="120" w:type="dxa"/>
              <w:bottom w:w="80" w:type="dxa"/>
              <w:end w:w="120" w:type="dxa"/>
            </w:tcMar>
          </w:tcPr>
          <w:p>
            <w:pPr>
              <w:spacing w:after="0"/>
            </w:pPr>
            <w:r>
              <w:rPr>
                <w:rFonts w:ascii="Calibri" w:hAnsi="Calibri"/>
                <w:color w:val="000000"/>
                <w:sz w:val="18"/>
              </w:rPr>
              <w:t>Geometry and case packages are ready for external analysis.</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ANALYSIS_RUNNING</w:t>
            </w:r>
          </w:p>
        </w:tc>
        <w:tc>
          <w:tcPr>
            <w:tcW w:type="dxa" w:w="7160"/>
            <w:tcMar>
              <w:top w:w="80" w:type="dxa"/>
              <w:start w:w="120" w:type="dxa"/>
              <w:bottom w:w="80" w:type="dxa"/>
              <w:end w:w="120" w:type="dxa"/>
            </w:tcMar>
          </w:tcPr>
          <w:p>
            <w:pPr>
              <w:spacing w:after="0"/>
            </w:pPr>
            <w:r>
              <w:rPr>
                <w:rFonts w:ascii="Calibri" w:hAnsi="Calibri"/>
                <w:color w:val="000000"/>
                <w:sz w:val="18"/>
              </w:rPr>
              <w:t>External or internal simulations are active.</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ANALYSIS_FAILED</w:t>
            </w:r>
          </w:p>
        </w:tc>
        <w:tc>
          <w:tcPr>
            <w:tcW w:type="dxa" w:w="7160"/>
            <w:tcMar>
              <w:top w:w="80" w:type="dxa"/>
              <w:start w:w="120" w:type="dxa"/>
              <w:bottom w:w="80" w:type="dxa"/>
              <w:end w:w="120" w:type="dxa"/>
            </w:tcMar>
          </w:tcPr>
          <w:p>
            <w:pPr>
              <w:spacing w:after="0"/>
            </w:pPr>
            <w:r>
              <w:rPr>
                <w:rFonts w:ascii="Calibri" w:hAnsi="Calibri"/>
                <w:color w:val="000000"/>
                <w:sz w:val="18"/>
              </w:rPr>
              <w:t>One or more validation cases failed or did not converge.</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REVIEW_REQUIRED</w:t>
            </w:r>
          </w:p>
        </w:tc>
        <w:tc>
          <w:tcPr>
            <w:tcW w:type="dxa" w:w="7160"/>
            <w:tcMar>
              <w:top w:w="80" w:type="dxa"/>
              <w:start w:w="120" w:type="dxa"/>
              <w:bottom w:w="80" w:type="dxa"/>
              <w:end w:w="120" w:type="dxa"/>
            </w:tcMar>
          </w:tcPr>
          <w:p>
            <w:pPr>
              <w:spacing w:after="0"/>
            </w:pPr>
            <w:r>
              <w:rPr>
                <w:rFonts w:ascii="Calibri" w:hAnsi="Calibri"/>
                <w:color w:val="000000"/>
                <w:sz w:val="18"/>
              </w:rPr>
              <w:t>Automated checks passed enough for human review.</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RELEASE_BLOCKED</w:t>
            </w:r>
          </w:p>
        </w:tc>
        <w:tc>
          <w:tcPr>
            <w:tcW w:type="dxa" w:w="7160"/>
            <w:tcMar>
              <w:top w:w="80" w:type="dxa"/>
              <w:start w:w="120" w:type="dxa"/>
              <w:bottom w:w="80" w:type="dxa"/>
              <w:end w:w="120" w:type="dxa"/>
            </w:tcMar>
          </w:tcPr>
          <w:p>
            <w:pPr>
              <w:spacing w:after="0"/>
            </w:pPr>
            <w:r>
              <w:rPr>
                <w:rFonts w:ascii="Calibri" w:hAnsi="Calibri"/>
                <w:color w:val="000000"/>
                <w:sz w:val="18"/>
              </w:rPr>
              <w:t>Open risks, missing evidence, or failed checks prevent manufacturing export.</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MANUFACTURING_RELEASED</w:t>
            </w:r>
          </w:p>
        </w:tc>
        <w:tc>
          <w:tcPr>
            <w:tcW w:type="dxa" w:w="7160"/>
            <w:tcMar>
              <w:top w:w="80" w:type="dxa"/>
              <w:start w:w="120" w:type="dxa"/>
              <w:bottom w:w="80" w:type="dxa"/>
              <w:end w:w="120" w:type="dxa"/>
            </w:tcMar>
          </w:tcPr>
          <w:p>
            <w:pPr>
              <w:spacing w:after="0"/>
            </w:pPr>
            <w:r>
              <w:rPr>
                <w:rFonts w:ascii="Calibri" w:hAnsi="Calibri"/>
                <w:color w:val="000000"/>
                <w:sz w:val="18"/>
              </w:rPr>
              <w:t>Human signoff completed and release passport generated.</w:t>
            </w:r>
          </w:p>
        </w:tc>
      </w:tr>
    </w:tbl>
    <w:p>
      <w:pPr>
        <w:spacing w:before="0" w:after="40" w:line="240" w:lineRule="auto"/>
      </w:pPr>
      <w:r>
        <w:rPr>
          <w:rFonts w:ascii="Calibri" w:hAnsi="Calibri"/>
          <w:sz w:val="2"/>
        </w:rPr>
        <w:t xml:space="preserve"> </w:t>
      </w:r>
    </w:p>
    <w:p>
      <w:pPr>
        <w:pStyle w:val="Heading1"/>
      </w:pPr>
      <w:r>
        <w:t>16. Development Roadmap</w:t>
      </w:r>
    </w:p>
    <w:p>
      <w:r>
        <w:t>The roadmap should avoid trying to build the full vision at once. A credible path starts with one narrow engine family, one propellant pair, one parametric geometry generator, one external simulation round trip, and one documentation package.</w:t>
      </w:r>
    </w:p>
    <w:tbl>
      <w:tblPr>
        <w:tblStyle w:val="TableGrid"/>
        <w:tblW w:type="dxa" w:w="9360"/>
        <w:jc w:val="left"/>
        <w:tblLook w:firstColumn="1" w:firstRow="1" w:lastColumn="0" w:lastRow="0" w:noHBand="0" w:noVBand="1" w:val="04A0"/>
        <w:tblInd w:w="120" w:type="dxa"/>
        <w:tblLayout w:type="fixed"/>
      </w:tblPr>
      <w:tblGrid>
        <w:gridCol w:w="1350"/>
        <w:gridCol w:w="4750"/>
        <w:gridCol w:w="3260"/>
      </w:tblGrid>
      <w:tr>
        <w:trPr>
          <w:tblHeader w:val="true"/>
          <w:cantSplit w:val="true"/>
        </w:trPr>
        <w:tc>
          <w:tcPr>
            <w:tcW w:type="dxa" w:w="1350"/>
            <w:vAlign w:val="center"/>
            <w:tcMar>
              <w:top w:w="80" w:type="dxa"/>
              <w:start w:w="120" w:type="dxa"/>
              <w:bottom w:w="80" w:type="dxa"/>
              <w:end w:w="120" w:type="dxa"/>
            </w:tcMar>
            <w:shd w:fill="F2F4F7"/>
          </w:tcPr>
          <w:p>
            <w:pPr>
              <w:spacing w:after="0"/>
            </w:pPr>
            <w:r>
              <w:rPr>
                <w:rFonts w:ascii="Calibri" w:hAnsi="Calibri"/>
                <w:b/>
                <w:color w:val="0B2545"/>
                <w:sz w:val="17"/>
              </w:rPr>
              <w:t>Phase</w:t>
            </w:r>
          </w:p>
        </w:tc>
        <w:tc>
          <w:tcPr>
            <w:tcW w:type="dxa" w:w="4750"/>
            <w:vAlign w:val="center"/>
            <w:tcMar>
              <w:top w:w="80" w:type="dxa"/>
              <w:start w:w="120" w:type="dxa"/>
              <w:bottom w:w="80" w:type="dxa"/>
              <w:end w:w="120" w:type="dxa"/>
            </w:tcMar>
            <w:shd w:fill="F2F4F7"/>
          </w:tcPr>
          <w:p>
            <w:pPr>
              <w:spacing w:after="0"/>
            </w:pPr>
            <w:r>
              <w:rPr>
                <w:rFonts w:ascii="Calibri" w:hAnsi="Calibri"/>
                <w:b/>
                <w:color w:val="0B2545"/>
                <w:sz w:val="17"/>
              </w:rPr>
              <w:t>Scope</w:t>
            </w:r>
          </w:p>
        </w:tc>
        <w:tc>
          <w:tcPr>
            <w:tcW w:type="dxa" w:w="3260"/>
            <w:vAlign w:val="center"/>
            <w:tcMar>
              <w:top w:w="80" w:type="dxa"/>
              <w:start w:w="120" w:type="dxa"/>
              <w:bottom w:w="80" w:type="dxa"/>
              <w:end w:w="120" w:type="dxa"/>
            </w:tcMar>
            <w:shd w:fill="F2F4F7"/>
          </w:tcPr>
          <w:p>
            <w:pPr>
              <w:spacing w:after="0"/>
            </w:pPr>
            <w:r>
              <w:rPr>
                <w:rFonts w:ascii="Calibri" w:hAnsi="Calibri"/>
                <w:b/>
                <w:color w:val="0B2545"/>
                <w:sz w:val="17"/>
              </w:rPr>
              <w:t>Exit Criteria</w:t>
            </w:r>
          </w:p>
        </w:tc>
      </w:tr>
      <w:tr>
        <w:trPr>
          <w:cantSplit w:val="true"/>
        </w:trPr>
        <w:tc>
          <w:tcPr>
            <w:tcW w:type="dxa" w:w="1350"/>
            <w:tcMar>
              <w:top w:w="80" w:type="dxa"/>
              <w:start w:w="120" w:type="dxa"/>
              <w:bottom w:w="80" w:type="dxa"/>
              <w:end w:w="120" w:type="dxa"/>
            </w:tcMar>
          </w:tcPr>
          <w:p>
            <w:pPr>
              <w:spacing w:after="0"/>
            </w:pPr>
            <w:r>
              <w:rPr>
                <w:rFonts w:ascii="Calibri" w:hAnsi="Calibri"/>
                <w:color w:val="000000"/>
                <w:sz w:val="17"/>
              </w:rPr>
              <w:t>0 - Foundation hardening</w:t>
            </w:r>
          </w:p>
        </w:tc>
        <w:tc>
          <w:tcPr>
            <w:tcW w:type="dxa" w:w="4750"/>
            <w:tcMar>
              <w:top w:w="80" w:type="dxa"/>
              <w:start w:w="120" w:type="dxa"/>
              <w:bottom w:w="80" w:type="dxa"/>
              <w:end w:w="120" w:type="dxa"/>
            </w:tcMar>
          </w:tcPr>
          <w:p>
            <w:pPr>
              <w:spacing w:after="0"/>
            </w:pPr>
            <w:r>
              <w:rPr>
                <w:rFonts w:ascii="Calibri" w:hAnsi="Calibri"/>
                <w:color w:val="000000"/>
                <w:sz w:val="17"/>
              </w:rPr>
              <w:t>Fix package imports, compile errors, validation gaps, project tooling, canonical data</w:t>
            </w:r>
          </w:p>
        </w:tc>
        <w:tc>
          <w:tcPr>
            <w:tcW w:type="dxa" w:w="3260"/>
            <w:tcMar>
              <w:top w:w="80" w:type="dxa"/>
              <w:start w:w="120" w:type="dxa"/>
              <w:bottom w:w="80" w:type="dxa"/>
              <w:end w:w="120" w:type="dxa"/>
            </w:tcMar>
          </w:tcPr>
          <w:p>
            <w:pPr>
              <w:spacing w:after="0"/>
            </w:pPr>
            <w:r>
              <w:rPr>
                <w:rFonts w:ascii="Calibri" w:hAnsi="Calibri"/>
                <w:color w:val="000000"/>
                <w:sz w:val="17"/>
              </w:rPr>
              <w:t>Full test suite, compileall, ruff, mypy baseline pass</w:t>
            </w:r>
          </w:p>
        </w:tc>
      </w:tr>
      <w:tr>
        <w:trPr>
          <w:cantSplit w:val="true"/>
        </w:trPr>
        <w:tc>
          <w:tcPr>
            <w:tcW w:type="dxa" w:w="1350"/>
            <w:tcMar>
              <w:top w:w="80" w:type="dxa"/>
              <w:start w:w="120" w:type="dxa"/>
              <w:bottom w:w="80" w:type="dxa"/>
              <w:end w:w="120" w:type="dxa"/>
            </w:tcMar>
          </w:tcPr>
          <w:p>
            <w:pPr>
              <w:spacing w:after="0"/>
            </w:pPr>
            <w:r>
              <w:rPr>
                <w:rFonts w:ascii="Calibri" w:hAnsi="Calibri"/>
                <w:color w:val="000000"/>
                <w:sz w:val="17"/>
              </w:rPr>
              <w:t>1 - Knowledge/RAG MVP</w:t>
            </w:r>
          </w:p>
        </w:tc>
        <w:tc>
          <w:tcPr>
            <w:tcW w:type="dxa" w:w="4750"/>
            <w:tcMar>
              <w:top w:w="80" w:type="dxa"/>
              <w:start w:w="120" w:type="dxa"/>
              <w:bottom w:w="80" w:type="dxa"/>
              <w:end w:w="120" w:type="dxa"/>
            </w:tcMar>
          </w:tcPr>
          <w:p>
            <w:pPr>
              <w:spacing w:after="0"/>
            </w:pPr>
            <w:r>
              <w:rPr>
                <w:rFonts w:ascii="Calibri" w:hAnsi="Calibri"/>
                <w:color w:val="000000"/>
                <w:sz w:val="17"/>
              </w:rPr>
              <w:t>Reference/document/equation ingestion, vector+keyword search, citation answers</w:t>
            </w:r>
          </w:p>
        </w:tc>
        <w:tc>
          <w:tcPr>
            <w:tcW w:type="dxa" w:w="3260"/>
            <w:tcMar>
              <w:top w:w="80" w:type="dxa"/>
              <w:start w:w="120" w:type="dxa"/>
              <w:bottom w:w="80" w:type="dxa"/>
              <w:end w:w="120" w:type="dxa"/>
            </w:tcMar>
          </w:tcPr>
          <w:p>
            <w:pPr>
              <w:spacing w:after="0"/>
            </w:pPr>
            <w:r>
              <w:rPr>
                <w:rFonts w:ascii="Calibri" w:hAnsi="Calibri"/>
                <w:color w:val="000000"/>
                <w:sz w:val="17"/>
              </w:rPr>
              <w:t>Approved equations can be retrieved with source and validity data</w:t>
            </w:r>
          </w:p>
        </w:tc>
      </w:tr>
      <w:tr>
        <w:trPr>
          <w:cantSplit w:val="true"/>
        </w:trPr>
        <w:tc>
          <w:tcPr>
            <w:tcW w:type="dxa" w:w="1350"/>
            <w:tcMar>
              <w:top w:w="80" w:type="dxa"/>
              <w:start w:w="120" w:type="dxa"/>
              <w:bottom w:w="80" w:type="dxa"/>
              <w:end w:w="120" w:type="dxa"/>
            </w:tcMar>
          </w:tcPr>
          <w:p>
            <w:pPr>
              <w:spacing w:after="0"/>
            </w:pPr>
            <w:r>
              <w:rPr>
                <w:rFonts w:ascii="Calibri" w:hAnsi="Calibri"/>
                <w:color w:val="000000"/>
                <w:sz w:val="17"/>
              </w:rPr>
              <w:t>2 - Preliminary engine sizing</w:t>
            </w:r>
          </w:p>
        </w:tc>
        <w:tc>
          <w:tcPr>
            <w:tcW w:type="dxa" w:w="4750"/>
            <w:tcMar>
              <w:top w:w="80" w:type="dxa"/>
              <w:start w:w="120" w:type="dxa"/>
              <w:bottom w:w="80" w:type="dxa"/>
              <w:end w:w="120" w:type="dxa"/>
            </w:tcMar>
          </w:tcPr>
          <w:p>
            <w:pPr>
              <w:spacing w:after="0"/>
            </w:pPr>
            <w:r>
              <w:rPr>
                <w:rFonts w:ascii="Calibri" w:hAnsi="Calibri"/>
                <w:color w:val="000000"/>
                <w:sz w:val="17"/>
              </w:rPr>
              <w:t>Propellant pair, thrust, Pc, burn time, chamber/nozzle sizing</w:t>
            </w:r>
          </w:p>
        </w:tc>
        <w:tc>
          <w:tcPr>
            <w:tcW w:type="dxa" w:w="3260"/>
            <w:tcMar>
              <w:top w:w="80" w:type="dxa"/>
              <w:start w:w="120" w:type="dxa"/>
              <w:bottom w:w="80" w:type="dxa"/>
              <w:end w:w="120" w:type="dxa"/>
            </w:tcMar>
          </w:tcPr>
          <w:p>
            <w:pPr>
              <w:spacing w:after="0"/>
            </w:pPr>
            <w:r>
              <w:rPr>
                <w:rFonts w:ascii="Calibri" w:hAnsi="Calibri"/>
                <w:color w:val="000000"/>
                <w:sz w:val="17"/>
              </w:rPr>
              <w:t>Deterministic design state and calculation report</w:t>
            </w:r>
          </w:p>
        </w:tc>
      </w:tr>
      <w:tr>
        <w:trPr>
          <w:cantSplit w:val="true"/>
        </w:trPr>
        <w:tc>
          <w:tcPr>
            <w:tcW w:type="dxa" w:w="1350"/>
            <w:tcMar>
              <w:top w:w="80" w:type="dxa"/>
              <w:start w:w="120" w:type="dxa"/>
              <w:bottom w:w="80" w:type="dxa"/>
              <w:end w:w="120" w:type="dxa"/>
            </w:tcMar>
          </w:tcPr>
          <w:p>
            <w:pPr>
              <w:spacing w:after="0"/>
            </w:pPr>
            <w:r>
              <w:rPr>
                <w:rFonts w:ascii="Calibri" w:hAnsi="Calibri"/>
                <w:color w:val="000000"/>
                <w:sz w:val="17"/>
              </w:rPr>
              <w:t>3 - Parametric CAD MVP</w:t>
            </w:r>
          </w:p>
        </w:tc>
        <w:tc>
          <w:tcPr>
            <w:tcW w:type="dxa" w:w="4750"/>
            <w:tcMar>
              <w:top w:w="80" w:type="dxa"/>
              <w:start w:w="120" w:type="dxa"/>
              <w:bottom w:w="80" w:type="dxa"/>
              <w:end w:w="120" w:type="dxa"/>
            </w:tcMar>
          </w:tcPr>
          <w:p>
            <w:pPr>
              <w:spacing w:after="0"/>
            </w:pPr>
            <w:r>
              <w:rPr>
                <w:rFonts w:ascii="Calibri" w:hAnsi="Calibri"/>
                <w:color w:val="000000"/>
                <w:sz w:val="17"/>
              </w:rPr>
              <w:t>Chamber, throat, nozzle, simple injector placeholder, STEP export</w:t>
            </w:r>
          </w:p>
        </w:tc>
        <w:tc>
          <w:tcPr>
            <w:tcW w:type="dxa" w:w="3260"/>
            <w:tcMar>
              <w:top w:w="80" w:type="dxa"/>
              <w:start w:w="120" w:type="dxa"/>
              <w:bottom w:w="80" w:type="dxa"/>
              <w:end w:w="120" w:type="dxa"/>
            </w:tcMar>
          </w:tcPr>
          <w:p>
            <w:pPr>
              <w:spacing w:after="0"/>
            </w:pPr>
            <w:r>
              <w:rPr>
                <w:rFonts w:ascii="Calibri" w:hAnsi="Calibri"/>
                <w:color w:val="000000"/>
                <w:sz w:val="17"/>
              </w:rPr>
              <w:t>Regeneratable CAD with feature metadata</w:t>
            </w:r>
          </w:p>
        </w:tc>
      </w:tr>
      <w:tr>
        <w:trPr>
          <w:cantSplit w:val="true"/>
        </w:trPr>
        <w:tc>
          <w:tcPr>
            <w:tcW w:type="dxa" w:w="1350"/>
            <w:tcMar>
              <w:top w:w="80" w:type="dxa"/>
              <w:start w:w="120" w:type="dxa"/>
              <w:bottom w:w="80" w:type="dxa"/>
              <w:end w:w="120" w:type="dxa"/>
            </w:tcMar>
          </w:tcPr>
          <w:p>
            <w:pPr>
              <w:spacing w:after="0"/>
            </w:pPr>
            <w:r>
              <w:rPr>
                <w:rFonts w:ascii="Calibri" w:hAnsi="Calibri"/>
                <w:color w:val="000000"/>
                <w:sz w:val="17"/>
              </w:rPr>
              <w:t>4 - External analysis round trip</w:t>
            </w:r>
          </w:p>
        </w:tc>
        <w:tc>
          <w:tcPr>
            <w:tcW w:type="dxa" w:w="4750"/>
            <w:tcMar>
              <w:top w:w="80" w:type="dxa"/>
              <w:start w:w="120" w:type="dxa"/>
              <w:bottom w:w="80" w:type="dxa"/>
              <w:end w:w="120" w:type="dxa"/>
            </w:tcMar>
          </w:tcPr>
          <w:p>
            <w:pPr>
              <w:spacing w:after="0"/>
            </w:pPr>
            <w:r>
              <w:rPr>
                <w:rFonts w:ascii="Calibri" w:hAnsi="Calibri"/>
                <w:color w:val="000000"/>
                <w:sz w:val="17"/>
              </w:rPr>
              <w:t>OpenFOAM/Fluent and Nastran/Ansys package export/import</w:t>
            </w:r>
          </w:p>
        </w:tc>
        <w:tc>
          <w:tcPr>
            <w:tcW w:type="dxa" w:w="3260"/>
            <w:tcMar>
              <w:top w:w="80" w:type="dxa"/>
              <w:start w:w="120" w:type="dxa"/>
              <w:bottom w:w="80" w:type="dxa"/>
              <w:end w:w="120" w:type="dxa"/>
            </w:tcMar>
          </w:tcPr>
          <w:p>
            <w:pPr>
              <w:spacing w:after="0"/>
            </w:pPr>
            <w:r>
              <w:rPr>
                <w:rFonts w:ascii="Calibri" w:hAnsi="Calibri"/>
                <w:color w:val="000000"/>
                <w:sz w:val="17"/>
              </w:rPr>
              <w:t>Comparison cockpit with uploaded results</w:t>
            </w:r>
          </w:p>
        </w:tc>
      </w:tr>
      <w:tr>
        <w:trPr>
          <w:cantSplit w:val="true"/>
        </w:trPr>
        <w:tc>
          <w:tcPr>
            <w:tcW w:type="dxa" w:w="1350"/>
            <w:tcMar>
              <w:top w:w="80" w:type="dxa"/>
              <w:start w:w="120" w:type="dxa"/>
              <w:bottom w:w="80" w:type="dxa"/>
              <w:end w:w="120" w:type="dxa"/>
            </w:tcMar>
          </w:tcPr>
          <w:p>
            <w:pPr>
              <w:spacing w:after="0"/>
            </w:pPr>
            <w:r>
              <w:rPr>
                <w:rFonts w:ascii="Calibri" w:hAnsi="Calibri"/>
                <w:color w:val="000000"/>
                <w:sz w:val="17"/>
              </w:rPr>
              <w:t>5 - Regen cooling and injector depth</w:t>
            </w:r>
          </w:p>
        </w:tc>
        <w:tc>
          <w:tcPr>
            <w:tcW w:type="dxa" w:w="4750"/>
            <w:tcMar>
              <w:top w:w="80" w:type="dxa"/>
              <w:start w:w="120" w:type="dxa"/>
              <w:bottom w:w="80" w:type="dxa"/>
              <w:end w:w="120" w:type="dxa"/>
            </w:tcMar>
          </w:tcPr>
          <w:p>
            <w:pPr>
              <w:spacing w:after="0"/>
            </w:pPr>
            <w:r>
              <w:rPr>
                <w:rFonts w:ascii="Calibri" w:hAnsi="Calibri"/>
                <w:color w:val="000000"/>
                <w:sz w:val="17"/>
              </w:rPr>
              <w:t>Channel geometry, pressure drop, heat flux, injector face layout</w:t>
            </w:r>
          </w:p>
        </w:tc>
        <w:tc>
          <w:tcPr>
            <w:tcW w:type="dxa" w:w="3260"/>
            <w:tcMar>
              <w:top w:w="80" w:type="dxa"/>
              <w:start w:w="120" w:type="dxa"/>
              <w:bottom w:w="80" w:type="dxa"/>
              <w:end w:w="120" w:type="dxa"/>
            </w:tcMar>
          </w:tcPr>
          <w:p>
            <w:pPr>
              <w:spacing w:after="0"/>
            </w:pPr>
            <w:r>
              <w:rPr>
                <w:rFonts w:ascii="Calibri" w:hAnsi="Calibri"/>
                <w:color w:val="000000"/>
                <w:sz w:val="17"/>
              </w:rPr>
              <w:t>Analysis-ready chamber/injector assemblies</w:t>
            </w:r>
          </w:p>
        </w:tc>
      </w:tr>
      <w:tr>
        <w:trPr>
          <w:cantSplit w:val="true"/>
        </w:trPr>
        <w:tc>
          <w:tcPr>
            <w:tcW w:type="dxa" w:w="1350"/>
            <w:tcMar>
              <w:top w:w="80" w:type="dxa"/>
              <w:start w:w="120" w:type="dxa"/>
              <w:bottom w:w="80" w:type="dxa"/>
              <w:end w:w="120" w:type="dxa"/>
            </w:tcMar>
          </w:tcPr>
          <w:p>
            <w:pPr>
              <w:spacing w:after="0"/>
            </w:pPr>
            <w:r>
              <w:rPr>
                <w:rFonts w:ascii="Calibri" w:hAnsi="Calibri"/>
                <w:color w:val="000000"/>
                <w:sz w:val="17"/>
              </w:rPr>
              <w:t>6 - Optimization layer</w:t>
            </w:r>
          </w:p>
        </w:tc>
        <w:tc>
          <w:tcPr>
            <w:tcW w:type="dxa" w:w="4750"/>
            <w:tcMar>
              <w:top w:w="80" w:type="dxa"/>
              <w:start w:w="120" w:type="dxa"/>
              <w:bottom w:w="80" w:type="dxa"/>
              <w:end w:w="120" w:type="dxa"/>
            </w:tcMar>
          </w:tcPr>
          <w:p>
            <w:pPr>
              <w:spacing w:after="0"/>
            </w:pPr>
            <w:r>
              <w:rPr>
                <w:rFonts w:ascii="Calibri" w:hAnsi="Calibri"/>
                <w:color w:val="000000"/>
                <w:sz w:val="17"/>
              </w:rPr>
              <w:t>OpenMDAO parametric optimization and topology candidate workflow</w:t>
            </w:r>
          </w:p>
        </w:tc>
        <w:tc>
          <w:tcPr>
            <w:tcW w:type="dxa" w:w="3260"/>
            <w:tcMar>
              <w:top w:w="80" w:type="dxa"/>
              <w:start w:w="120" w:type="dxa"/>
              <w:bottom w:w="80" w:type="dxa"/>
              <w:end w:w="120" w:type="dxa"/>
            </w:tcMar>
          </w:tcPr>
          <w:p>
            <w:pPr>
              <w:spacing w:after="0"/>
            </w:pPr>
            <w:r>
              <w:rPr>
                <w:rFonts w:ascii="Calibri" w:hAnsi="Calibri"/>
                <w:color w:val="000000"/>
                <w:sz w:val="17"/>
              </w:rPr>
              <w:t>Baseline vs optimized comparison and reconstruction report</w:t>
            </w:r>
          </w:p>
        </w:tc>
      </w:tr>
      <w:tr>
        <w:trPr>
          <w:cantSplit w:val="true"/>
        </w:trPr>
        <w:tc>
          <w:tcPr>
            <w:tcW w:type="dxa" w:w="1350"/>
            <w:tcMar>
              <w:top w:w="80" w:type="dxa"/>
              <w:start w:w="120" w:type="dxa"/>
              <w:bottom w:w="80" w:type="dxa"/>
              <w:end w:w="120" w:type="dxa"/>
            </w:tcMar>
          </w:tcPr>
          <w:p>
            <w:pPr>
              <w:spacing w:after="0"/>
            </w:pPr>
            <w:r>
              <w:rPr>
                <w:rFonts w:ascii="Calibri" w:hAnsi="Calibri"/>
                <w:color w:val="000000"/>
                <w:sz w:val="17"/>
              </w:rPr>
              <w:t>7 - Release passport</w:t>
            </w:r>
          </w:p>
        </w:tc>
        <w:tc>
          <w:tcPr>
            <w:tcW w:type="dxa" w:w="4750"/>
            <w:tcMar>
              <w:top w:w="80" w:type="dxa"/>
              <w:start w:w="120" w:type="dxa"/>
              <w:bottom w:w="80" w:type="dxa"/>
              <w:end w:w="120" w:type="dxa"/>
            </w:tcMar>
          </w:tcPr>
          <w:p>
            <w:pPr>
              <w:spacing w:after="0"/>
            </w:pPr>
            <w:r>
              <w:rPr>
                <w:rFonts w:ascii="Calibri" w:hAnsi="Calibri"/>
                <w:color w:val="000000"/>
                <w:sz w:val="17"/>
              </w:rPr>
              <w:t>Human review workflow, documentation center, manufacturing export controls</w:t>
            </w:r>
          </w:p>
        </w:tc>
        <w:tc>
          <w:tcPr>
            <w:tcW w:type="dxa" w:w="3260"/>
            <w:tcMar>
              <w:top w:w="80" w:type="dxa"/>
              <w:start w:w="120" w:type="dxa"/>
              <w:bottom w:w="80" w:type="dxa"/>
              <w:end w:w="120" w:type="dxa"/>
            </w:tcMar>
          </w:tcPr>
          <w:p>
            <w:pPr>
              <w:spacing w:after="0"/>
            </w:pPr>
            <w:r>
              <w:rPr>
                <w:rFonts w:ascii="Calibri" w:hAnsi="Calibri"/>
                <w:color w:val="000000"/>
                <w:sz w:val="17"/>
              </w:rPr>
              <w:t>No print export without completed release gate</w:t>
            </w:r>
          </w:p>
        </w:tc>
      </w:tr>
      <w:tr>
        <w:trPr>
          <w:cantSplit w:val="true"/>
        </w:trPr>
        <w:tc>
          <w:tcPr>
            <w:tcW w:type="dxa" w:w="1350"/>
            <w:tcMar>
              <w:top w:w="80" w:type="dxa"/>
              <w:start w:w="120" w:type="dxa"/>
              <w:bottom w:w="80" w:type="dxa"/>
              <w:end w:w="120" w:type="dxa"/>
            </w:tcMar>
          </w:tcPr>
          <w:p>
            <w:pPr>
              <w:spacing w:after="0"/>
            </w:pPr>
            <w:r>
              <w:rPr>
                <w:rFonts w:ascii="Calibri" w:hAnsi="Calibri"/>
                <w:color w:val="000000"/>
                <w:sz w:val="17"/>
              </w:rPr>
              <w:t>8 - Enterprise maturity</w:t>
            </w:r>
          </w:p>
        </w:tc>
        <w:tc>
          <w:tcPr>
            <w:tcW w:type="dxa" w:w="4750"/>
            <w:tcMar>
              <w:top w:w="80" w:type="dxa"/>
              <w:start w:w="120" w:type="dxa"/>
              <w:bottom w:w="80" w:type="dxa"/>
              <w:end w:w="120" w:type="dxa"/>
            </w:tcMar>
          </w:tcPr>
          <w:p>
            <w:pPr>
              <w:spacing w:after="0"/>
            </w:pPr>
            <w:r>
              <w:rPr>
                <w:rFonts w:ascii="Calibri" w:hAnsi="Calibri"/>
                <w:color w:val="000000"/>
                <w:sz w:val="17"/>
              </w:rPr>
              <w:t>Team database, access control, plugin SDK, validation dataset management</w:t>
            </w:r>
          </w:p>
        </w:tc>
        <w:tc>
          <w:tcPr>
            <w:tcW w:type="dxa" w:w="3260"/>
            <w:tcMar>
              <w:top w:w="80" w:type="dxa"/>
              <w:start w:w="120" w:type="dxa"/>
              <w:bottom w:w="80" w:type="dxa"/>
              <w:end w:w="120" w:type="dxa"/>
            </w:tcMar>
          </w:tcPr>
          <w:p>
            <w:pPr>
              <w:spacing w:after="0"/>
            </w:pPr>
            <w:r>
              <w:rPr>
                <w:rFonts w:ascii="Calibri" w:hAnsi="Calibri"/>
                <w:color w:val="000000"/>
                <w:sz w:val="17"/>
              </w:rPr>
              <w:t>Multi-user digital thread and audit capability</w:t>
            </w:r>
          </w:p>
        </w:tc>
      </w:tr>
    </w:tbl>
    <w:p>
      <w:pPr>
        <w:spacing w:before="0" w:after="40" w:line="240" w:lineRule="auto"/>
      </w:pPr>
      <w:r>
        <w:rPr>
          <w:rFonts w:ascii="Calibri" w:hAnsi="Calibri"/>
          <w:sz w:val="2"/>
        </w:rPr>
        <w:t xml:space="preserve"> </w:t>
      </w:r>
    </w:p>
    <w:p>
      <w:pPr>
        <w:pStyle w:val="Heading1"/>
      </w:pPr>
      <w:r>
        <w:t>17. Immediate Repo-Level Actions</w:t>
      </w:r>
    </w:p>
    <w:p>
      <w:pPr>
        <w:pStyle w:val="ListBullet"/>
      </w:pPr>
      <w:r>
        <w:t>Fix knowledge package path mismatch between repository tests and implementation.</w:t>
      </w:r>
    </w:p>
    <w:p>
      <w:pPr>
        <w:pStyle w:val="ListBullet"/>
      </w:pPr>
      <w:r>
        <w:t>Repair or quarantine the non-compiling Quantity model before it enters the active RAG schema.</w:t>
      </w:r>
    </w:p>
    <w:p>
      <w:pPr>
        <w:pStyle w:val="ListBullet"/>
      </w:pPr>
      <w:r>
        <w:t>Promote one propellant database as canonical and ensure the default loader points to it.</w:t>
      </w:r>
    </w:p>
    <w:p>
      <w:pPr>
        <w:pStyle w:val="ListBullet"/>
      </w:pPr>
      <w:r>
        <w:t>Add pyproject.toml, dependency lock, formatter/linter config, and CI commands.</w:t>
      </w:r>
    </w:p>
    <w:p>
      <w:pPr>
        <w:pStyle w:val="ListBullet"/>
      </w:pPr>
      <w:r>
        <w:t>Implement shared finite numeric validation and apply it across propellants, variables, units, constants, and materials.</w:t>
      </w:r>
    </w:p>
    <w:p>
      <w:pPr>
        <w:pStyle w:val="ListBullet"/>
      </w:pPr>
      <w:r>
        <w:t>Remove debug print statements from models and prevent import-time side effects in configuration/settings.</w:t>
      </w:r>
    </w:p>
    <w:p>
      <w:pPr>
        <w:pStyle w:val="ListBullet"/>
      </w:pPr>
      <w:r>
        <w:t>Create first design-state schema before writing more CAD or solver features.</w:t>
      </w:r>
    </w:p>
    <w:p>
      <w:pPr>
        <w:pStyle w:val="Heading1"/>
      </w:pPr>
      <w:r>
        <w:t>18. Appendix A - Initial COSMOS Module Map</w:t>
      </w:r>
    </w:p>
    <w:tbl>
      <w:tblPr>
        <w:tblStyle w:val="TableGrid"/>
        <w:tblW w:type="dxa" w:w="9360"/>
        <w:tblLook w:firstColumn="1" w:firstRow="1" w:lastColumn="0" w:lastRow="0" w:noHBand="0" w:noVBand="1" w:val="04A0"/>
        <w:tblInd w:w="120" w:type="dxa"/>
        <w:tblLayout w:type="fixed"/>
      </w:tblPr>
      <w:tblGrid>
        <w:gridCol w:w="9360"/>
      </w:tblGrid>
      <w:tr>
        <w:trPr>
          <w:cantSplit w:val="true"/>
        </w:trPr>
        <w:tc>
          <w:tcPr>
            <w:tcW w:type="dxa" w:w="9360"/>
            <w:vAlign w:val="center"/>
            <w:tcMar>
              <w:top w:w="80" w:type="dxa"/>
              <w:start w:w="120" w:type="dxa"/>
              <w:bottom w:w="80" w:type="dxa"/>
              <w:end w:w="120" w:type="dxa"/>
            </w:tcMar>
            <w:shd w:fill="FBFCFE"/>
          </w:tcPr>
          <w:p>
            <w:pPr>
              <w:spacing w:after="0"/>
            </w:pPr>
            <w:r>
              <w:rPr>
                <w:rFonts w:ascii="Courier New" w:hAnsi="Courier New"/>
                <w:color w:val="0B2545"/>
                <w:sz w:val="17"/>
              </w:rPr>
              <w:t>cosmos/</w:t>
              <w:br/>
              <w:t xml:space="preserve">  core/                  units, constants, validation, config, logging</w:t>
              <w:br/>
              <w:t xml:space="preserve">  knowledge/             RAG schemas, ingestion, graph, retrieval, approval</w:t>
              <w:br/>
              <w:t xml:space="preserve">  physics/               equations and scientific models only</w:t>
              <w:br/>
              <w:t xml:space="preserve">  systems/               chamber, nozzle, injector, cooling, igniter, feed</w:t>
              <w:br/>
              <w:t xml:space="preserve">                         structure and reliability assemblies</w:t>
              <w:br/>
              <w:t xml:space="preserve">  backend/               orchestration, workflows, APIs, project state</w:t>
              <w:br/>
              <w:t xml:space="preserve">  geometry/              CAD generators, feature graph, export adapters</w:t>
              <w:br/>
              <w:t xml:space="preserve">  optimization/          OpenMDAO, topology/shape loops, UQ, sensitivity</w:t>
              <w:br/>
              <w:t xml:space="preserve">  simulation_adapters/   Fluent, OpenFOAM, Nastran, Ansys, Abaqus, NX, Simulink</w:t>
              <w:br/>
              <w:t xml:space="preserve">  validation/            benchmarks, external comparison, release gates</w:t>
              <w:br/>
              <w:t xml:space="preserve">  documentation/         report templates, design basis, release passport</w:t>
              <w:br/>
              <w:t xml:space="preserve">  gui/                   Qt workbench, 3D viewer, comparison cockpit</w:t>
              <w:br/>
              <w:t xml:space="preserve">  databases/             project, knowledge, material, propellant, result stores</w:t>
              <w:br/>
              <w:t xml:space="preserve">  tests/                 unit, integration, regression, validation datasets</w:t>
            </w:r>
          </w:p>
        </w:tc>
      </w:tr>
    </w:tbl>
    <w:p>
      <w:pPr>
        <w:spacing w:before="0" w:after="40" w:line="240" w:lineRule="auto"/>
      </w:pPr>
      <w:r>
        <w:rPr>
          <w:rFonts w:ascii="Calibri" w:hAnsi="Calibri"/>
          <w:sz w:val="2"/>
        </w:rPr>
        <w:t xml:space="preserve"> </w:t>
      </w:r>
    </w:p>
    <w:p>
      <w:pPr>
        <w:pStyle w:val="Heading1"/>
      </w:pPr>
      <w:r>
        <w:t>19. Appendix B - Human Review Checklist</w:t>
      </w:r>
    </w:p>
    <w:p>
      <w:pPr>
        <w:pStyle w:val="ListBullet"/>
      </w:pPr>
      <w:r>
        <w:t>Design contract complete and approved.</w:t>
      </w:r>
    </w:p>
    <w:p>
      <w:pPr>
        <w:pStyle w:val="ListBullet"/>
      </w:pPr>
      <w:r>
        <w:t>All equations and material/property data are source-bound and in approved status.</w:t>
      </w:r>
    </w:p>
    <w:p>
      <w:pPr>
        <w:pStyle w:val="ListBullet"/>
      </w:pPr>
      <w:r>
        <w:t>All solver inputs are finite, unit-valid, dimension-valid, and within validity range.</w:t>
      </w:r>
    </w:p>
    <w:p>
      <w:pPr>
        <w:pStyle w:val="ListBullet"/>
      </w:pPr>
      <w:r>
        <w:t>CAD solids pass geometry integrity and manufacturability checks.</w:t>
      </w:r>
    </w:p>
    <w:p>
      <w:pPr>
        <w:pStyle w:val="ListBullet"/>
      </w:pPr>
      <w:r>
        <w:t>External CFD result package uploaded and compared.</w:t>
      </w:r>
    </w:p>
    <w:p>
      <w:pPr>
        <w:pStyle w:val="ListBullet"/>
      </w:pPr>
      <w:r>
        <w:t>External FEA/FEM result package uploaded and compared.</w:t>
      </w:r>
    </w:p>
    <w:p>
      <w:pPr>
        <w:pStyle w:val="ListBullet"/>
      </w:pPr>
      <w:r>
        <w:t>Thermal and cooling margin reviewed.</w:t>
      </w:r>
    </w:p>
    <w:p>
      <w:pPr>
        <w:pStyle w:val="ListBullet"/>
      </w:pPr>
      <w:r>
        <w:t>Structural margin, modal/vibration risk, and fatigue assumptions reviewed.</w:t>
      </w:r>
    </w:p>
    <w:p>
      <w:pPr>
        <w:pStyle w:val="ListBullet"/>
      </w:pPr>
      <w:r>
        <w:t>Topology reconstruction, if used, was reanalyzed after CAD cleanup.</w:t>
      </w:r>
    </w:p>
    <w:p>
      <w:pPr>
        <w:pStyle w:val="ListBullet"/>
      </w:pPr>
      <w:r>
        <w:t>Open risks, assumptions, and waivers are explicitly accepted or closed.</w:t>
      </w:r>
    </w:p>
    <w:p>
      <w:pPr>
        <w:pStyle w:val="ListBullet"/>
      </w:pPr>
      <w:r>
        <w:t>Manufacturing process, material, inspection, and test-plan notes are attached.</w:t>
      </w:r>
    </w:p>
    <w:p>
      <w:pPr>
        <w:pStyle w:val="ListBullet"/>
      </w:pPr>
      <w:r>
        <w:t>Human reviewer signs release passport before 3MF/STL manufacturing export.</w:t>
      </w:r>
    </w:p>
    <w:p>
      <w:pPr>
        <w:pStyle w:val="Heading1"/>
      </w:pPr>
      <w:r>
        <w:t>20. Appendix C - Design Input/Output Contract</w:t>
      </w:r>
    </w:p>
    <w:tbl>
      <w:tblPr>
        <w:tblStyle w:val="TableGrid"/>
        <w:tblW w:type="dxa" w:w="9360"/>
        <w:jc w:val="left"/>
        <w:tblLook w:firstColumn="1" w:firstRow="1" w:lastColumn="0" w:lastRow="0" w:noHBand="0" w:noVBand="1" w:val="04A0"/>
        <w:tblInd w:w="120" w:type="dxa"/>
        <w:tblLayout w:type="fixed"/>
      </w:tblPr>
      <w:tblGrid>
        <w:gridCol w:w="2200"/>
        <w:gridCol w:w="7160"/>
      </w:tblGrid>
      <w:tr>
        <w:trPr>
          <w:tblHeader w:val="true"/>
          <w:cantSplit w:val="true"/>
        </w:trPr>
        <w:tc>
          <w:tcPr>
            <w:tcW w:type="dxa" w:w="2200"/>
            <w:vAlign w:val="center"/>
            <w:tcMar>
              <w:top w:w="80" w:type="dxa"/>
              <w:start w:w="120" w:type="dxa"/>
              <w:bottom w:w="80" w:type="dxa"/>
              <w:end w:w="120" w:type="dxa"/>
            </w:tcMar>
            <w:shd w:fill="F2F4F7"/>
          </w:tcPr>
          <w:p>
            <w:pPr>
              <w:spacing w:after="0"/>
            </w:pPr>
            <w:r>
              <w:rPr>
                <w:rFonts w:ascii="Calibri" w:hAnsi="Calibri"/>
                <w:b/>
                <w:color w:val="0B2545"/>
                <w:sz w:val="18"/>
              </w:rPr>
              <w:t>Category</w:t>
            </w:r>
          </w:p>
        </w:tc>
        <w:tc>
          <w:tcPr>
            <w:tcW w:type="dxa" w:w="7160"/>
            <w:vAlign w:val="center"/>
            <w:tcMar>
              <w:top w:w="80" w:type="dxa"/>
              <w:start w:w="120" w:type="dxa"/>
              <w:bottom w:w="80" w:type="dxa"/>
              <w:end w:w="120" w:type="dxa"/>
            </w:tcMar>
            <w:shd w:fill="F2F4F7"/>
          </w:tcPr>
          <w:p>
            <w:pPr>
              <w:spacing w:after="0"/>
            </w:pPr>
            <w:r>
              <w:rPr>
                <w:rFonts w:ascii="Calibri" w:hAnsi="Calibri"/>
                <w:b/>
                <w:color w:val="0B2545"/>
                <w:sz w:val="18"/>
              </w:rPr>
              <w:t>Minimum Fields</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User inputs</w:t>
            </w:r>
          </w:p>
        </w:tc>
        <w:tc>
          <w:tcPr>
            <w:tcW w:type="dxa" w:w="7160"/>
            <w:tcMar>
              <w:top w:w="80" w:type="dxa"/>
              <w:start w:w="120" w:type="dxa"/>
              <w:bottom w:w="80" w:type="dxa"/>
              <w:end w:w="120" w:type="dxa"/>
            </w:tcMar>
          </w:tcPr>
          <w:p>
            <w:pPr>
              <w:spacing w:after="0"/>
            </w:pPr>
            <w:r>
              <w:rPr>
                <w:rFonts w:ascii="Calibri" w:hAnsi="Calibri"/>
                <w:color w:val="000000"/>
                <w:sz w:val="18"/>
              </w:rPr>
              <w:t>Propellant pair, thrust, chamber pressure, burn time, environment, feed architecture, cooling method, material/process, safety factors</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Computed outputs</w:t>
            </w:r>
          </w:p>
        </w:tc>
        <w:tc>
          <w:tcPr>
            <w:tcW w:type="dxa" w:w="7160"/>
            <w:tcMar>
              <w:top w:w="80" w:type="dxa"/>
              <w:start w:w="120" w:type="dxa"/>
              <w:bottom w:w="80" w:type="dxa"/>
              <w:end w:w="120" w:type="dxa"/>
            </w:tcMar>
          </w:tcPr>
          <w:p>
            <w:pPr>
              <w:spacing w:after="0"/>
            </w:pPr>
            <w:r>
              <w:rPr>
                <w:rFonts w:ascii="Calibri" w:hAnsi="Calibri"/>
                <w:color w:val="000000"/>
                <w:sz w:val="18"/>
              </w:rPr>
              <w:t>Mass flow, mixture ratio, throat area, chamber dimensions, expansion ratio, nozzle contour, cooling channels, injector layout, wall thickness</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CAD outputs</w:t>
            </w:r>
          </w:p>
        </w:tc>
        <w:tc>
          <w:tcPr>
            <w:tcW w:type="dxa" w:w="7160"/>
            <w:tcMar>
              <w:top w:w="80" w:type="dxa"/>
              <w:start w:w="120" w:type="dxa"/>
              <w:bottom w:w="80" w:type="dxa"/>
              <w:end w:w="120" w:type="dxa"/>
            </w:tcMar>
          </w:tcPr>
          <w:p>
            <w:pPr>
              <w:spacing w:after="0"/>
            </w:pPr>
            <w:r>
              <w:rPr>
                <w:rFonts w:ascii="Calibri" w:hAnsi="Calibri"/>
                <w:color w:val="000000"/>
                <w:sz w:val="18"/>
              </w:rPr>
              <w:t>Chamber/nozzle assembly, regen jacket/channels, injector head, igniter, manifolds, mounts, interfaces</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CAE outputs</w:t>
            </w:r>
          </w:p>
        </w:tc>
        <w:tc>
          <w:tcPr>
            <w:tcW w:type="dxa" w:w="7160"/>
            <w:tcMar>
              <w:top w:w="80" w:type="dxa"/>
              <w:start w:w="120" w:type="dxa"/>
              <w:bottom w:w="80" w:type="dxa"/>
              <w:end w:w="120" w:type="dxa"/>
            </w:tcMar>
          </w:tcPr>
          <w:p>
            <w:pPr>
              <w:spacing w:after="0"/>
            </w:pPr>
            <w:r>
              <w:rPr>
                <w:rFonts w:ascii="Calibri" w:hAnsi="Calibri"/>
                <w:color w:val="000000"/>
                <w:sz w:val="18"/>
              </w:rPr>
              <w:t>CFD case, FEA/FEM case, thermal case, dynamics/system model package, mesh files, result metadata</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Documentation outputs</w:t>
            </w:r>
          </w:p>
        </w:tc>
        <w:tc>
          <w:tcPr>
            <w:tcW w:type="dxa" w:w="7160"/>
            <w:tcMar>
              <w:top w:w="80" w:type="dxa"/>
              <w:start w:w="120" w:type="dxa"/>
              <w:bottom w:w="80" w:type="dxa"/>
              <w:end w:w="120" w:type="dxa"/>
            </w:tcMar>
          </w:tcPr>
          <w:p>
            <w:pPr>
              <w:spacing w:after="0"/>
            </w:pPr>
            <w:r>
              <w:rPr>
                <w:rFonts w:ascii="Calibri" w:hAnsi="Calibri"/>
                <w:color w:val="000000"/>
                <w:sz w:val="18"/>
              </w:rPr>
              <w:t>Design basis, calculation package, CAD report, analysis comparison, review passport, change report</w:t>
            </w:r>
          </w:p>
        </w:tc>
      </w:tr>
      <w:tr>
        <w:trPr>
          <w:cantSplit w:val="true"/>
        </w:trPr>
        <w:tc>
          <w:tcPr>
            <w:tcW w:type="dxa" w:w="2200"/>
            <w:tcMar>
              <w:top w:w="80" w:type="dxa"/>
              <w:start w:w="120" w:type="dxa"/>
              <w:bottom w:w="80" w:type="dxa"/>
              <w:end w:w="120" w:type="dxa"/>
            </w:tcMar>
          </w:tcPr>
          <w:p>
            <w:pPr>
              <w:spacing w:after="0"/>
            </w:pPr>
            <w:r>
              <w:rPr>
                <w:rFonts w:ascii="Calibri" w:hAnsi="Calibri"/>
                <w:color w:val="000000"/>
                <w:sz w:val="18"/>
              </w:rPr>
              <w:t>Manufacturing outputs</w:t>
            </w:r>
          </w:p>
        </w:tc>
        <w:tc>
          <w:tcPr>
            <w:tcW w:type="dxa" w:w="7160"/>
            <w:tcMar>
              <w:top w:w="80" w:type="dxa"/>
              <w:start w:w="120" w:type="dxa"/>
              <w:bottom w:w="80" w:type="dxa"/>
              <w:end w:w="120" w:type="dxa"/>
            </w:tcMar>
          </w:tcPr>
          <w:p>
            <w:pPr>
              <w:spacing w:after="0"/>
            </w:pPr>
            <w:r>
              <w:rPr>
                <w:rFonts w:ascii="Calibri" w:hAnsi="Calibri"/>
                <w:color w:val="000000"/>
                <w:sz w:val="18"/>
              </w:rPr>
              <w:t>STEP/Parasolid, drawings/tables, 3MF/STL after release, inspection notes, process assumptions</w:t>
            </w:r>
          </w:p>
        </w:tc>
      </w:tr>
    </w:tbl>
    <w:p>
      <w:pPr>
        <w:spacing w:before="0" w:after="40" w:line="240" w:lineRule="auto"/>
      </w:pPr>
      <w:r>
        <w:rPr>
          <w:rFonts w:ascii="Calibri" w:hAnsi="Calibri"/>
          <w:sz w:val="2"/>
        </w:rPr>
        <w:t xml:space="preserve"> </w:t>
      </w:r>
    </w:p>
    <w:p>
      <w:pPr>
        <w:pStyle w:val="Heading1"/>
      </w:pPr>
      <w:r>
        <w:t>21. Closing Direction</w:t>
      </w:r>
    </w:p>
    <w:p>
      <w:r>
        <w:t>COSMOS should be built as a proprietary evidence-driven computational engineering system. Its unique value should come from the integration of traceable RAG knowledge, deterministic engineering solvers, feature-level CAD provenance, topology-aware design improvement, external solver comparison, generated engineering documentation, and controlled human release. That combination is the company-owned pattern. The immediate task is to harden the foundation, then build one narrow end-to-end engine workflow that proves the TRACE-GEN loop from requirements to reviewed CAD and documentation.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A606C"/>
        <w:sz w:val="17"/>
      </w:rPr>
      <w:t>Company Confidential - COSMOS Intellectual Property - Human review required before engineering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A606C"/>
        <w:sz w:val="18"/>
      </w:rPr>
      <w:t>COSMOS | Proprietary Architecture Pattern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