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2937"/>
          <w:sz w:val="48"/>
          <w:szCs w:val="48"/>
        </w:rPr>
        <w:t xml:space="preserve">Rapport d'analyse du projet</w:t>
      </w:r>
    </w:p>
    <w:p>
      <w:pPr>
        <w:spacing w:after="200"/>
        <w:jc w:val="center"/>
      </w:pPr>
      <w:r>
        <w:rPr>
          <w:color w:val="2563EB"/>
          <w:sz w:val="36"/>
          <w:szCs w:val="36"/>
        </w:rPr>
        <w:t xml:space="preserve">Plateforme de Gestion Hôtelière</w:t>
      </w:r>
    </w:p>
    <w:p>
      <w:pPr>
        <w:spacing w:after="800"/>
        <w:jc w:val="center"/>
      </w:pPr>
      <w:r>
        <w:rPr>
          <w:i/>
          <w:iCs/>
          <w:color w:val="6B7280"/>
          <w:sz w:val="22"/>
          <w:szCs w:val="22"/>
        </w:rPr>
        <w:t xml:space="preserve">hotel-back-dev — Spring Boot 3.3.4 / Java 17</w:t>
      </w:r>
    </w:p>
    <w:p>
      <w:pPr>
        <w:jc w:val="center"/>
      </w:pPr>
      <w:r>
        <w:rPr>
          <w:color w:val="374151"/>
          <w:sz w:val="24"/>
          <w:szCs w:val="24"/>
        </w:rPr>
        <w:t xml:space="preserve">Audit architectural, fonctionnel et qualité</w:t>
      </w:r>
    </w:p>
    <w:p>
      <w:pPr>
        <w:spacing w:after="1200"/>
        <w:jc w:val="center"/>
      </w:pPr>
      <w:r>
        <w:rPr>
          <w:i/>
          <w:iCs/>
          <w:color w:val="6B7280"/>
          <w:sz w:val="22"/>
          <w:szCs w:val="22"/>
        </w:rPr>
        <w:t xml:space="preserve">Juin 2026</w:t>
      </w:r>
    </w:p>
    <w:p>
      <w:r>
        <w:br w:type="page"/>
      </w:r>
    </w:p>
    <w:p>
      <w:pPr>
        <w:pStyle w:val="Heading1"/>
        <w:spacing w:after="200" w:before="360"/>
      </w:pPr>
      <w:r>
        <w:t xml:space="preserve">1. Résumé exécutif</w:t>
      </w:r>
    </w:p>
    <w:p>
      <w:pPr>
        <w:spacing w:after="120"/>
        <w:jc w:val="both"/>
      </w:pPr>
      <w:r>
        <w:t xml:space="preserve">hotel-back-dev est une plateforme SaaS de gestion hôtelière multi-tenant, conçue selon une architecture modulaire (5 modules métier + un noyau partagé). Le backend repose sur Spring Boot 3.3.4 et PostgreSQL ; il est servi par un frontend Angular 17 et un ensemble de templates Thymeleaf utilisés principalement par le module RH.</w:t>
      </w:r>
    </w:p>
    <w:p>
      <w:pPr>
        <w:spacing w:after="120"/>
        <w:jc w:val="both"/>
      </w:pPr>
      <w:r>
        <w:t xml:space="preserve">Le projet revendique un statut « Production-Ready v2.0.0 Enterprise », ce qui est correct sur les axes architecture, fonctionnalités et patterns, mais pas encore sur les axes sécurité, tests automatisés et stabilité du schéma. La codebase comporte 737 fichiers Java, 177 entités JPA, 26 controllers REST exposant environ 202 endpoints, et plus de 50 documents internes retraçant les refactorings successifs.</w:t>
      </w:r>
    </w:p>
    <w:p>
      <w:pPr>
        <w:spacing w:after="120"/>
        <w:jc w:val="both"/>
      </w:pPr>
      <w:r>
        <w:t xml:space="preserve">Le module RH est le plus mature et le seul à disposer d'une IHM complète. Le module Planning, pourtant central pour un hôtel (réservations, chambres, housekeeping), reste sous-développé en proportion. Les axes prioritaires de remédiation sont, dans l'ordre : sécurité (authentification réelle), tests, stratégie de migration de schéma (Flyway/Liquibase), et consolidation du module Planning.</w:t>
      </w:r>
    </w:p>
    <w:p>
      <w:pPr>
        <w:pStyle w:val="Heading1"/>
        <w:spacing w:after="200" w:before="360"/>
      </w:pPr>
      <w:r>
        <w:t xml:space="preserve">2. Vue d'ensemble technique</w:t>
      </w:r>
    </w:p>
    <w:p>
      <w:pPr>
        <w:spacing w:after="120"/>
        <w:jc w:val="both"/>
      </w:pPr>
      <w:r>
        <w:t xml:space="preserve">Le projet suit une organisation classique en couches : controller → service → mapper → DTO ↔ model (entité JPA) → repository. Les modules métier sont isolés sous src/main/java/projet_hotelier/hotel/module/, les éléments transverses sous core/ et shared/. MapStruct gère les conversions DTO↔entité, Lombok réduit la verbosité, et ArchUnit valide certaines règles d'architecture.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left"/>
            </w:pPr>
            <w:r>
              <w:rPr>
                <w:b/>
                <w:bCs/>
                <w:color w:val="FFFFFF"/>
                <w:sz w:val="20"/>
                <w:szCs w:val="20"/>
              </w:rPr>
              <w:t xml:space="preserve">Couche</w:t>
            </w:r>
          </w:p>
        </w:tc>
        <w:tc>
          <w:tcPr>
            <w:tcW w:type="dxa" w:w="624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left"/>
            </w:pPr>
            <w:r>
              <w:rPr>
                <w:b/>
                <w:bCs/>
                <w:color w:val="FFFFFF"/>
                <w:sz w:val="20"/>
                <w:szCs w:val="20"/>
              </w:rPr>
              <w:t xml:space="preserve">Technologies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Langage / runtime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Java 17, Maven 3.8+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Spring Boot 3.3.4 (Web, Data JPA, Security, Validation, Thymeleaf, Actuator)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Base de données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PostgreSQL (prod) — H2 (tests). ddl-auto = update.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Mapping / DTO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MapStruct 1.5.5, Lombok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Documentation API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SpringDoc OpenAPI 2.3.0 (Swagger UI sur /swagger-ui.html)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Angular 17 + NgRx + Tailwind + Chart.js — et Thymeleaf + Bootstrap 5.3 pour le module RH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111111"/>
                <w:sz w:val="20"/>
                <w:szCs w:val="20"/>
              </w:rPr>
              <w:t xml:space="preserve">Tests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JUnit 5, ArchUnit 1.3.0 (5 fichiers de test au total)</w:t>
            </w:r>
          </w:p>
        </w:tc>
      </w:tr>
    </w:tbl>
    <w:p>
      <w:pPr>
        <w:pStyle w:val="Heading1"/>
        <w:spacing w:after="200" w:before="360"/>
      </w:pPr>
      <w:r>
        <w:t xml:space="preserve">3. Métriques du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left"/>
            </w:pPr>
            <w:r>
              <w:rPr>
                <w:b/>
                <w:bCs/>
                <w:color w:val="FFFFFF"/>
                <w:sz w:val="20"/>
                <w:szCs w:val="20"/>
              </w:rPr>
              <w:t xml:space="preserve">Indicateur</w:t>
            </w:r>
          </w:p>
        </w:tc>
        <w:tc>
          <w:tcPr>
            <w:tcW w:type="dxa" w:w="468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Fichiers Java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737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Entités JPA (@Entity)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177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Repositories (JpaRepository)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Controllers REST (@RestController)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Services (@Service)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Endpoints REST cumulés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 202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Templates Thymeleaf (.html)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Fichiers frontend Angular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101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Fichiers de test (src/test)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Documents d'analyse (docs/)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TODO / FIXME en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20</w:t>
            </w:r>
          </w:p>
        </w:tc>
      </w:tr>
    </w:tbl>
    <w:p>
      <w:r>
        <w:br w:type="page"/>
      </w:r>
    </w:p>
    <w:p>
      <w:pPr>
        <w:pStyle w:val="Heading1"/>
        <w:spacing w:after="200" w:before="360"/>
      </w:pPr>
      <w:r>
        <w:t xml:space="preserve">4. Modules métier</w:t>
      </w:r>
    </w:p>
    <w:p>
      <w:pPr>
        <w:pStyle w:val="Heading2"/>
        <w:spacing w:after="160" w:before="280"/>
      </w:pPr>
      <w:r>
        <w:t xml:space="preserve">4.1 Module RH (Ressources Humaines)</w:t>
      </w:r>
    </w:p>
    <w:p>
      <w:pPr>
        <w:spacing w:after="120"/>
        <w:jc w:val="both"/>
      </w:pPr>
      <w:r>
        <w:t xml:space="preserve">Module le plus avancé du projet et seul module à disposer d'une IHM Thymeleaf complète. Il couvre l'ensemble du cycle de vie d'un employé : recrutement, onboarding, contrats, congés, temps de travail, formations, compétences, évaluations, paie, conformité légale et offboarding. Il est structuré en sous-packages cohérents (controller, service, mapper, dto, model, repository, listener) et illustre explicitement plusieurs design patterns (Strategy, Template Method, Factory, Facade) via un dossier pattern/. Des événements de domaine (CongeEvent, EmployeEvent, etc.) traduisent une intention d'architecture event-driven.</w:t>
      </w:r>
    </w:p>
    <w:p>
      <w:pPr>
        <w:pStyle w:val="ListParagraph"/>
        <w:numPr>
          <w:ilvl w:val="0"/>
          <w:numId w:val="2"/>
        </w:numPr>
        <w:spacing w:after="80"/>
      </w:pPr>
      <w:r>
        <w:t xml:space="preserve">≈ 120 fichiers Java, 94 endpoints REST exposés sous /api/v1/rh/*.</w:t>
      </w:r>
    </w:p>
    <w:p>
      <w:pPr>
        <w:pStyle w:val="ListParagraph"/>
        <w:numPr>
          <w:ilvl w:val="0"/>
          <w:numId w:val="2"/>
        </w:numPr>
        <w:spacing w:after="80"/>
      </w:pPr>
      <w:r>
        <w:t xml:space="preserve">Web Controller dédié sur /rh/* (templates Thymeleaf).</w:t>
      </w:r>
    </w:p>
    <w:p>
      <w:pPr>
        <w:pStyle w:val="ListParagraph"/>
        <w:numPr>
          <w:ilvl w:val="0"/>
          <w:numId w:val="2"/>
        </w:numPr>
        <w:spacing w:after="80"/>
      </w:pPr>
      <w:r>
        <w:t xml:space="preserve">13 ressources principales : employés, contrats, congés, temps, paie, formations, compétences, évaluations, recrutement, onboarding, offboarding, conformité, prime/bonus.</w:t>
      </w:r>
    </w:p>
    <w:p>
      <w:pPr>
        <w:pStyle w:val="Heading2"/>
        <w:spacing w:after="160" w:before="280"/>
      </w:pPr>
      <w:r>
        <w:t xml:space="preserve">4.2 Module Clientèle</w:t>
      </w:r>
    </w:p>
    <w:p>
      <w:pPr>
        <w:spacing w:after="120"/>
        <w:jc w:val="both"/>
      </w:pPr>
      <w:r>
        <w:t xml:space="preserve">Module volumineux (223 fichiers) couvrant la gestion des clients, leurs préférences, profils, programme de fidélité, campagnes marketing, avis, notifications, intégrations tierces, conformité RGPD et reporting. Le découpage interne est riche (6 sous-modules : client, i18n, compliance, integration, organisation, reporting). 108 endpoints exposés sous /api/clientele/*.</w:t>
      </w:r>
    </w:p>
    <w:p>
      <w:pPr>
        <w:pStyle w:val="ListParagraph"/>
        <w:numPr>
          <w:ilvl w:val="0"/>
          <w:numId w:val="2"/>
        </w:numPr>
        <w:spacing w:after="80"/>
      </w:pPr>
      <w:r>
        <w:t xml:space="preserve">Convention de path différente du module RH (pas de versioning /v1).</w:t>
      </w:r>
    </w:p>
    <w:p>
      <w:pPr>
        <w:pStyle w:val="ListParagraph"/>
        <w:numPr>
          <w:ilvl w:val="0"/>
          <w:numId w:val="2"/>
        </w:numPr>
        <w:spacing w:after="80"/>
      </w:pPr>
      <w:r>
        <w:t xml:space="preserve">Sous-module compliance dédié à la conformité GDPR (consentements, politiques de confidentialité).</w:t>
      </w:r>
    </w:p>
    <w:p>
      <w:pPr>
        <w:pStyle w:val="Heading2"/>
        <w:spacing w:after="160" w:before="280"/>
      </w:pPr>
      <w:r>
        <w:t xml:space="preserve">4.3 Module Finances</w:t>
      </w:r>
    </w:p>
    <w:p>
      <w:pPr>
        <w:spacing w:after="120"/>
        <w:jc w:val="both"/>
      </w:pPr>
      <w:r>
        <w:t xml:space="preserve">Couvre dépenses, revenus, factures, paiements, budgets, consolidation et devises. Inclut un sous-package ai/ pour des fonctionnalités d'IA financière (prédictions, scoring). 186 fichiers Java. Présence préoccupante d'un SecurityConfig vide à côté du SecurityConfig global — risque de collision de beans ou de configuration silencieusement écrasée.</w:t>
      </w:r>
    </w:p>
    <w:p>
      <w:pPr>
        <w:pStyle w:val="Heading2"/>
        <w:spacing w:after="160" w:before="280"/>
      </w:pPr>
      <w:r>
        <w:t xml:space="preserve">4.4 Module Planning</w:t>
      </w:r>
    </w:p>
    <w:p>
      <w:pPr>
        <w:spacing w:after="120"/>
        <w:jc w:val="both"/>
      </w:pPr>
      <w:r>
        <w:t xml:space="preserve">Cœur métier d'un hôtel (chambres, réservations, housekeeping, tarification, channel manager, événements) mais représenté par seulement 43 fichiers Java. Aucun controller REST détecté dans cet inventaire automatique : les services et entités existent, mais l'exposition API semble incomplète. C'est le maillon faible fonctionnel du projet.</w:t>
      </w:r>
    </w:p>
    <w:p>
      <w:pPr>
        <w:pStyle w:val="Heading2"/>
        <w:spacing w:after="160" w:before="280"/>
      </w:pPr>
      <w:r>
        <w:t xml:space="preserve">4.5 Module Reporting</w:t>
      </w:r>
    </w:p>
    <w:p>
      <w:pPr>
        <w:spacing w:after="120"/>
        <w:jc w:val="both"/>
      </w:pPr>
      <w:r>
        <w:t xml:space="preserve">48 fichiers. Décomposé en sous-modules document, compliance, audit, ia. Aucun controller REST détecté ici non plus dans l'inventaire — à vérifier.</w:t>
      </w:r>
    </w:p>
    <w:p>
      <w:pPr>
        <w:pStyle w:val="Heading1"/>
        <w:spacing w:after="200" w:before="360"/>
      </w:pPr>
      <w:r>
        <w:t xml:space="preserve">5. Architecture transverse</w:t>
      </w:r>
    </w:p>
    <w:p>
      <w:pPr>
        <w:spacing w:after="120"/>
        <w:jc w:val="both"/>
      </w:pPr>
      <w:r>
        <w:t xml:space="preserve">Le package core/ centralise les notions partagées : organisation (multi-tenant), géo (pays, villes, régions), structure (hôtels, sites), audit, sécurité, intégration, métadonnées, configuration. Le package shared/ regroupe DTOs génériques (ApiResponse, PageResponse, ErrorResponse, AuditDTO), événements de domaine, exceptions et utilitaires (SecurityUtils, ValidationUtils, MoneyUtils, DateUtils).</w:t>
      </w:r>
    </w:p>
    <w:p>
      <w:pPr>
        <w:spacing w:after="120"/>
        <w:jc w:val="both"/>
      </w:pPr>
      <w:r>
        <w:t xml:space="preserve">Plusieurs marqueurs confirment l'intention multi-tenant : champs tenant dans BaseEntity, FeatureToggleModel, APIKey, WebhookConfiguration. Cependant, sans authentification réelle (cf. section 6), l'isolation effective des données par tenant n'est pas vérifiable au niveau HTTP.</w:t>
      </w:r>
    </w:p>
    <w:p>
      <w:r>
        <w:br w:type="page"/>
      </w:r>
    </w:p>
    <w:p>
      <w:pPr>
        <w:pStyle w:val="Heading1"/>
        <w:spacing w:after="200" w:before="360"/>
      </w:pPr>
      <w:r>
        <w:t xml:space="preserve">6. Sécurité — point critique</w:t>
      </w:r>
    </w:p>
    <w:p>
      <w:pPr>
        <w:spacing w:after="120"/>
        <w:jc w:val="both"/>
      </w:pPr>
      <w:r>
        <w:t xml:space="preserve">Le fichier core/config/SecurityConfig.java désactive entièrement la sécurité :</w:t>
      </w:r>
    </w:p>
    <w:p>
      <w:pPr>
        <w:pStyle w:val="ListParagraph"/>
        <w:numPr>
          <w:ilvl w:val="0"/>
          <w:numId w:val="2"/>
        </w:numPr>
        <w:spacing w:after="80"/>
      </w:pPr>
      <w:r>
        <w:t xml:space="preserve">CSRF désactivé.</w:t>
      </w:r>
    </w:p>
    <w:p>
      <w:pPr>
        <w:pStyle w:val="ListParagraph"/>
        <w:numPr>
          <w:ilvl w:val="0"/>
          <w:numId w:val="2"/>
        </w:numPr>
        <w:spacing w:after="80"/>
      </w:pPr>
      <w:r>
        <w:t xml:space="preserve">authorizeHttpRequests configuré en permitAll() sur l'ensemble des routes.</w:t>
      </w:r>
    </w:p>
    <w:p>
      <w:pPr>
        <w:pStyle w:val="ListParagraph"/>
        <w:numPr>
          <w:ilvl w:val="0"/>
          <w:numId w:val="2"/>
        </w:numPr>
        <w:spacing w:after="80"/>
      </w:pPr>
      <w:r>
        <w:t xml:space="preserve">Headers de sécurité par défaut désactivés (frameOptions notamment).</w:t>
      </w:r>
    </w:p>
    <w:p>
      <w:pPr>
        <w:pStyle w:val="ListParagraph"/>
        <w:numPr>
          <w:ilvl w:val="0"/>
          <w:numId w:val="2"/>
        </w:numPr>
        <w:spacing w:after="80"/>
      </w:pPr>
      <w:r>
        <w:t xml:space="preserve">Aucune trace de JWT ni de BCrypt dans le code.</w:t>
      </w:r>
    </w:p>
    <w:p>
      <w:pPr>
        <w:pStyle w:val="ListParagraph"/>
        <w:numPr>
          <w:ilvl w:val="0"/>
          <w:numId w:val="2"/>
        </w:numPr>
        <w:spacing w:after="80"/>
      </w:pPr>
      <w:r>
        <w:t xml:space="preserve">Identifiants PostgreSQL en clair dans application.properties (postgres / postgres).</w:t>
      </w:r>
    </w:p>
    <w:p>
      <w:pPr>
        <w:pStyle w:val="ListParagraph"/>
        <w:numPr>
          <w:ilvl w:val="0"/>
          <w:numId w:val="2"/>
        </w:numPr>
        <w:spacing w:after="80"/>
      </w:pPr>
      <w:r>
        <w:t xml:space="preserve">Un second SecurityConfig vide existe dans module/finances/config/ — risque de bean en double ou de configuration ambiguë.</w:t>
      </w:r>
    </w:p>
    <w:p>
      <w:pPr>
        <w:spacing w:after="120"/>
        <w:jc w:val="both"/>
      </w:pPr>
      <w:r>
        <w:t xml:space="preserve">Conséquence : tout endpoint REST exposé par les controllers — y compris ceux qui manipulent paie, contrats, données médicales (visas, conformité), consentements RGPD — est accessible sans authentification. Pour un produit présenté comme « SaaS multi-tenant production-ready », cet état est bloquant.</w:t>
      </w:r>
    </w:p>
    <w:p>
      <w:pPr>
        <w:spacing w:after="120"/>
        <w:jc w:val="both"/>
      </w:pPr>
      <w:r>
        <w:t xml:space="preserve">Recommandation prioritaire : implémenter Spring Security avec authentification réelle (JWT ou OAuth2/OIDC), chiffrer les mots de passe avec BCryptPasswordEncoder, réactiver CSRF sur les routes Thymeleaf, externaliser les credentials via spring.config.import ou variables d'environnement, et supprimer le SecurityConfig vide en doublon.</w:t>
      </w:r>
    </w:p>
    <w:p>
      <w:pPr>
        <w:pStyle w:val="Heading1"/>
        <w:spacing w:after="200" w:before="360"/>
      </w:pPr>
      <w:r>
        <w:t xml:space="preserve">7. Qualité, tests et dette technique</w:t>
      </w:r>
    </w:p>
    <w:p>
      <w:pPr>
        <w:pStyle w:val="Heading2"/>
        <w:spacing w:after="160" w:before="280"/>
      </w:pPr>
      <w:r>
        <w:t xml:space="preserve">7.1 Tests</w:t>
      </w:r>
    </w:p>
    <w:p>
      <w:pPr>
        <w:spacing w:after="120"/>
        <w:jc w:val="both"/>
      </w:pPr>
      <w:r>
        <w:t xml:space="preserve">La couverture de tests est très faible : 5 fichiers de test pour 737 classes Java. Aucun test unitaire de service, mapper ou controller n'a été identifié. Les tests existants couvrent uniquement la connexion DB, la validation des entités JPA, les relations JPA, et une règle d'architecture ArchUnit. C'est insuffisant pour un module qui calcule de la paie.</w:t>
      </w:r>
    </w:p>
    <w:p>
      <w:pPr>
        <w:pStyle w:val="ListParagraph"/>
        <w:numPr>
          <w:ilvl w:val="0"/>
          <w:numId w:val="2"/>
        </w:numPr>
        <w:spacing w:after="80"/>
      </w:pPr>
      <w:r>
        <w:t xml:space="preserve">Ajouter une couverture unitaire ciblée d'abord sur RH (paie, congés, contrats), puis Finances.</w:t>
      </w:r>
    </w:p>
    <w:p>
      <w:pPr>
        <w:pStyle w:val="ListParagraph"/>
        <w:numPr>
          <w:ilvl w:val="0"/>
          <w:numId w:val="2"/>
        </w:numPr>
        <w:spacing w:after="80"/>
      </w:pPr>
      <w:r>
        <w:t xml:space="preserve">Ajouter des tests d'intégration WebMvc sur les controllers REST critiques.</w:t>
      </w:r>
    </w:p>
    <w:p>
      <w:pPr>
        <w:pStyle w:val="ListParagraph"/>
        <w:numPr>
          <w:ilvl w:val="0"/>
          <w:numId w:val="2"/>
        </w:numPr>
        <w:spacing w:after="80"/>
      </w:pPr>
      <w:r>
        <w:t xml:space="preserve">Brancher JaCoCo et fixer un seuil minimal (par exemple 60 % sur les services).</w:t>
      </w:r>
    </w:p>
    <w:p>
      <w:pPr>
        <w:pStyle w:val="Heading2"/>
        <w:spacing w:after="160" w:before="280"/>
      </w:pPr>
      <w:r>
        <w:t xml:space="preserve">7.2 Migration de schéma</w:t>
      </w:r>
    </w:p>
    <w:p>
      <w:pPr>
        <w:spacing w:after="120"/>
        <w:jc w:val="both"/>
      </w:pPr>
      <w:r>
        <w:t xml:space="preserve">spring.jpa.hibernate.ddl-auto = update : le schéma est dérivé automatiquement des entités, ce qui est commode en développement mais dangereux en production (pas de versionnement, pas de rollback, dérives silencieuses). Migrer vers Flyway ou Liquibase et passer ddl-auto à validate.</w:t>
      </w:r>
    </w:p>
    <w:p>
      <w:pPr>
        <w:pStyle w:val="Heading2"/>
        <w:spacing w:after="160" w:before="280"/>
      </w:pPr>
      <w:r>
        <w:t xml:space="preserve">7.3 Logs</w:t>
      </w:r>
    </w:p>
    <w:p>
      <w:pPr>
        <w:spacing w:after="120"/>
        <w:jc w:val="both"/>
      </w:pPr>
      <w:r>
        <w:t xml:space="preserve">logging.level.org.hibernate.SQL = DEBUG et BasicBinder = TRACE en configuration par défaut : à désactiver ou réduire pour la production (verbosité, performance, et risque d'exposition de données sensibles dans les logs SQL).</w:t>
      </w:r>
    </w:p>
    <w:p>
      <w:pPr>
        <w:pStyle w:val="Heading2"/>
        <w:spacing w:after="160" w:before="280"/>
      </w:pPr>
      <w:r>
        <w:t xml:space="preserve">7.4 Dette historique</w:t>
      </w:r>
    </w:p>
    <w:p>
      <w:pPr>
        <w:spacing w:after="120"/>
        <w:jc w:val="both"/>
      </w:pPr>
      <w:r>
        <w:t xml:space="preserve">Le dossier docs/ contient 51 fichiers retraçant des phases de correction (entités doubles, beans en double, mappers/DTOs à reprendre, méthodes manquantes, erreurs de compilation, nettoyage du module Clientèle…). Cela suggère un projet qui a subi de multiples refactorings et où la cohésion d'ensemble mérite encore une revue. 20 TODO / FIXME subsistent dans le code Java.</w:t>
      </w:r>
    </w:p>
    <w:p>
      <w:pPr>
        <w:pStyle w:val="Heading1"/>
        <w:spacing w:after="200" w:before="360"/>
      </w:pPr>
      <w:r>
        <w:t xml:space="preserve">8. Conventions REST</w:t>
      </w:r>
    </w:p>
    <w:p>
      <w:pPr>
        <w:spacing w:after="120"/>
        <w:jc w:val="both"/>
      </w:pPr>
      <w:r>
        <w:t xml:space="preserve">Deux conventions de chemin coexistent :</w:t>
      </w:r>
    </w:p>
    <w:p>
      <w:pPr>
        <w:pStyle w:val="ListParagraph"/>
        <w:numPr>
          <w:ilvl w:val="0"/>
          <w:numId w:val="2"/>
        </w:numPr>
        <w:spacing w:after="80"/>
      </w:pPr>
      <w:r>
        <w:rPr>
          <w:rFonts w:ascii="Consolas" w:cs="Consolas" w:eastAsia="Consolas" w:hAnsi="Consolas"/>
          <w:b/>
          <w:bCs/>
        </w:rPr>
        <w:t xml:space="preserve">/api/v1/rh/…</w:t>
      </w:r>
      <w:r>
        <w:t xml:space="preserve"> pour le module RH (versionné).</w:t>
      </w:r>
    </w:p>
    <w:p>
      <w:pPr>
        <w:pStyle w:val="ListParagraph"/>
        <w:numPr>
          <w:ilvl w:val="0"/>
          <w:numId w:val="2"/>
        </w:numPr>
        <w:spacing w:after="80"/>
      </w:pPr>
      <w:r>
        <w:rPr>
          <w:rFonts w:ascii="Consolas" w:cs="Consolas" w:eastAsia="Consolas" w:hAnsi="Consolas"/>
          <w:b/>
          <w:bCs/>
        </w:rPr>
        <w:t xml:space="preserve">/api/clientele/&lt;sous-module&gt;/…</w:t>
      </w:r>
      <w:r>
        <w:t xml:space="preserve"> pour la clientèle (non versionné, sous-modules explicites).</w:t>
      </w:r>
    </w:p>
    <w:p>
      <w:pPr>
        <w:spacing w:after="120"/>
        <w:jc w:val="both"/>
      </w:pPr>
      <w:r>
        <w:t xml:space="preserve">Harmoniser sur /api/v1/&lt;module&gt;/… améliorerait la lisibilité et faciliterait la cohabitation de versions à venir.</w:t>
      </w:r>
    </w:p>
    <w:p>
      <w:r>
        <w:br w:type="page"/>
      </w:r>
    </w:p>
    <w:p>
      <w:pPr>
        <w:pStyle w:val="Heading1"/>
        <w:spacing w:after="200" w:before="360"/>
      </w:pPr>
      <w:r>
        <w:t xml:space="preserve">9. Recommandations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1500"/>
        <w:gridCol w:w="1560"/>
      </w:tblGrid>
      <w:tr>
        <w:trPr>
          <w:tblHeader/>
        </w:trPr>
        <w:tc>
          <w:tcPr>
            <w:tcW w:type="dxa" w:w="13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left"/>
            </w:pPr>
            <w:r>
              <w:rPr>
                <w:b/>
                <w:bCs/>
                <w:color w:val="FFFFFF"/>
                <w:sz w:val="20"/>
                <w:szCs w:val="20"/>
              </w:rPr>
              <w:t xml:space="preserve">Priorité</w:t>
            </w:r>
          </w:p>
        </w:tc>
        <w:tc>
          <w:tcPr>
            <w:tcW w:type="dxa" w:w="50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left"/>
            </w:pPr>
            <w:r>
              <w:rPr>
                <w:b/>
                <w:bCs/>
                <w:color w:val="FFFFFF"/>
                <w:sz w:val="20"/>
                <w:szCs w:val="20"/>
              </w:rPr>
              <w:t xml:space="preserve">Action</w:t>
            </w:r>
          </w:p>
        </w:tc>
        <w:tc>
          <w:tcPr>
            <w:tcW w:type="dxa" w:w="15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pPr>
              <w:jc w:val="center"/>
            </w:pPr>
            <w:r>
              <w:rPr>
                <w:b/>
                <w:bCs/>
                <w:color w:val="FFFFFF"/>
                <w:sz w:val="20"/>
                <w:szCs w:val="20"/>
              </w:rPr>
              <w:t xml:space="preserve">Impact</w:t>
            </w:r>
          </w:p>
        </w:tc>
      </w:tr>
      <w:tr>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111111"/>
                <w:sz w:val="20"/>
                <w:szCs w:val="20"/>
              </w:rPr>
              <w:t xml:space="preserve">P0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Implémenter une authentification réelle (JWT ou OAuth2) + BCrypt + activer CSRF sur Thymeleaf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Critique</w:t>
            </w:r>
          </w:p>
        </w:tc>
      </w:tr>
      <w:tr>
        <w:tc>
          <w:tcPr>
            <w:tcW w:type="dxa" w:w="13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b/>
                <w:bCs/>
                <w:color w:val="111111"/>
                <w:sz w:val="20"/>
                <w:szCs w:val="20"/>
              </w:rPr>
              <w:t xml:space="preserve">P0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Externaliser les credentials DB (variables d'env / Vault) et supprimer le SecurityConfig vide en double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XS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Critique</w:t>
            </w:r>
          </w:p>
        </w:tc>
      </w:tr>
      <w:tr>
        <w:tc>
          <w:tcPr>
            <w:tcW w:type="dxa" w:w="1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111111"/>
                <w:sz w:val="20"/>
                <w:szCs w:val="20"/>
              </w:rPr>
              <w:t xml:space="preserve">P1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Mettre en place Flyway ou Liquibase et passer ddl-auto à validate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Élevé</w:t>
            </w:r>
          </w:p>
        </w:tc>
      </w:tr>
      <w:tr>
        <w:tc>
          <w:tcPr>
            <w:tcW w:type="dxa" w:w="1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111111"/>
                <w:sz w:val="20"/>
                <w:szCs w:val="20"/>
              </w:rPr>
              <w:t xml:space="preserve">P1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Ajouter une suite de tests unitaires sur RH (paie, congés) et Finances + JaCoCo avec seuil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Élevé</w:t>
            </w:r>
          </w:p>
        </w:tc>
      </w:tr>
      <w:tr>
        <w:tc>
          <w:tcPr>
            <w:tcW w:type="dxa" w:w="13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b/>
                <w:bCs/>
                <w:color w:val="111111"/>
                <w:sz w:val="20"/>
                <w:szCs w:val="20"/>
              </w:rPr>
              <w:t xml:space="preserve">P1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Compléter le module Planning (controllers REST manquants, exposition API)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Élevé</w:t>
            </w:r>
          </w:p>
        </w:tc>
      </w:tr>
      <w:tr>
        <w:tc>
          <w:tcPr>
            <w:tcW w:type="dxa" w:w="1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111111"/>
                <w:sz w:val="20"/>
                <w:szCs w:val="20"/>
              </w:rPr>
              <w:t xml:space="preserve">P2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Harmoniser les conventions de chemin : tout passer sous /api/v1/&lt;module&gt;/…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Moyen</w:t>
            </w:r>
          </w:p>
        </w:tc>
      </w:tr>
      <w:tr>
        <w:tc>
          <w:tcPr>
            <w:tcW w:type="dxa" w:w="1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111111"/>
                <w:sz w:val="20"/>
                <w:szCs w:val="20"/>
              </w:rPr>
              <w:t xml:space="preserve">P2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Réduire la verbosité des logs SQL en production (Hibernate SQL=INFO)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XS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Moyen</w:t>
            </w:r>
          </w:p>
        </w:tc>
      </w:tr>
      <w:tr>
        <w:tc>
          <w:tcPr>
            <w:tcW w:type="dxa" w:w="1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b/>
                <w:bCs/>
                <w:color w:val="111111"/>
                <w:sz w:val="20"/>
                <w:szCs w:val="20"/>
              </w:rPr>
              <w:t xml:space="preserve">P2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Migrer le frontend vers Angular 18+ (Angular 17 sortira de LTS)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Moyen</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b/>
                <w:bCs/>
                <w:color w:val="111111"/>
                <w:sz w:val="20"/>
                <w:szCs w:val="20"/>
              </w:rPr>
              <w:t xml:space="preserve">P3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11111"/>
                <w:sz w:val="20"/>
                <w:szCs w:val="20"/>
              </w:rPr>
              <w:t xml:space="preserve">Résoudre les 20 TODO/FIXME et consolider la documentation interne (51 rapports)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111111"/>
                <w:sz w:val="20"/>
                <w:szCs w:val="20"/>
              </w:rPr>
              <w:t xml:space="preserv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11111"/>
                <w:sz w:val="20"/>
                <w:szCs w:val="20"/>
              </w:rPr>
              <w:t xml:space="preserve">Faible</w:t>
            </w:r>
          </w:p>
        </w:tc>
      </w:tr>
    </w:tbl>
    <w:p>
      <w:pPr>
        <w:spacing w:after="120"/>
        <w:jc w:val="both"/>
      </w:pPr>
      <w:r>
        <w:rPr>
          <w:i/>
          <w:iCs/>
          <w:sz w:val="18"/>
          <w:szCs w:val="18"/>
        </w:rPr>
        <w:t xml:space="preserve">Légende effort : XS = quelques heures, S = 1–2 jours, M = 1 semaine, L = 2 semaines et +.</w:t>
      </w:r>
    </w:p>
    <w:p>
      <w:pPr>
        <w:pStyle w:val="Heading1"/>
        <w:spacing w:after="200" w:before="360"/>
      </w:pPr>
      <w:r>
        <w:t xml:space="preserve">10. Conclusion</w:t>
      </w:r>
    </w:p>
    <w:p>
      <w:pPr>
        <w:spacing w:after="120"/>
        <w:jc w:val="both"/>
      </w:pPr>
      <w:r>
        <w:t xml:space="preserve">Le projet hotel-back-dev présente une fondation solide et fonctionnellement riche, avec un module RH qui justifie à lui seul l'étiquette « enterprise ». L'architecture en couches, l'usage de patterns explicites, l'instrumentation par Actuator et SpringDoc, l'event-driven et la prise en compte du multi-tenant montrent une véritable ambition de produit.</w:t>
      </w:r>
    </w:p>
    <w:p>
      <w:pPr>
        <w:spacing w:after="120"/>
        <w:jc w:val="both"/>
      </w:pPr>
      <w:r>
        <w:t xml:space="preserve">Trois chantiers conditionnent toutefois le passage en production : la sécurité (à reconstruire intégralement), la couverture de tests (à étoffer), et la stratégie de migration de schéma. Le module Planning, sous-développé en proportion, mérite par ailleurs un investissement spécifique. Une fois ces points adressés, le projet sera effectivement prêt pour un déploiement client.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Rapport d'analyse — hotel-back-dev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d'analyse — Plateforme Hôtelière</dc:title>
  <dc:creator>Claude</dc:creator>
  <cp:lastModifiedBy>Un-named</cp:lastModifiedBy>
  <cp:revision>1</cp:revision>
  <dcterms:created xsi:type="dcterms:W3CDTF">2026-06-17T06:40:48.672Z</dcterms:created>
  <dcterms:modified xsi:type="dcterms:W3CDTF">2026-06-17T06:40:48.672Z</dcterms:modified>
</cp:coreProperties>
</file>

<file path=docProps/custom.xml><?xml version="1.0" encoding="utf-8"?>
<Properties xmlns="http://schemas.openxmlformats.org/officeDocument/2006/custom-properties" xmlns:vt="http://schemas.openxmlformats.org/officeDocument/2006/docPropsVTypes"/>
</file>