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Laboratórios UnB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90"/>
        <w:gridCol w:w="1565"/>
        <w:tblGridChange w:id="0">
          <w:tblGrid>
            <w:gridCol w:w="5690"/>
            <w:gridCol w:w="1565"/>
          </w:tblGrid>
        </w:tblGridChange>
      </w:tblGrid>
      <w:tr>
        <w:trPr>
          <w:trHeight w:val="6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Faculdade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Faculdade de Arquitetura e Urbanismo (FAU)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Faculdade de Ciências da Saúde (FS)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Faculdade de Comunicação (FAC)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Faculdade de Economia, Administração, Contabilidade e Ciência da Informação e Documentação (Face)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Faculdade Educação (FE)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Faculdade de Educação Física (FEF)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Faculdade de Tecnologia (FT)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de Artes (IdA)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de Ciência Política (Ipol)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de Ciências Biológicas (IB)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de Ciências Exatas (IE)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de Ciências Sociais (ICS)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de Letras (IL)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de Psicologia (IP)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de Química (IQ)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Instituto de Relações Internacionais (Irel)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Centro </w:t>
              <w:tab/>
              <w:t xml:space="preserve">de Pesquisa e Pós-Graduação sobre as Américas (CEPPAC)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Centro </w:t>
              <w:tab/>
              <w:t xml:space="preserve">Internacional de Física da Matéria Condensada (CIFMC)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https://unb.br/institucional/unidades-academicas/laboratorios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