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1D5FB4"/>
          <w:sz w:val="18"/>
          <w:szCs w:val="18"/>
        </w:rPr>
        <w:t xml:space="preserve">COMPARATIVE ARCHITECTURE AUDIT</w:t>
      </w:r>
    </w:p>
    <w:p>
      <w:pPr>
        <w:spacing w:after="40"/>
      </w:pPr>
      <w:r>
        <w:rPr>
          <w:rFonts w:ascii="Calibri" w:cs="Calibri" w:eastAsia="Calibri" w:hAnsi="Calibri"/>
          <w:b/>
          <w:bCs/>
          <w:color w:val="1F2933"/>
          <w:sz w:val="40"/>
          <w:szCs w:val="40"/>
        </w:rPr>
        <w:t xml:space="preserve">UIx v2 vs. Design-System, Token-Tooling &amp; CSS-Framework Peers</w:t>
      </w:r>
    </w:p>
    <w:p>
      <w:pPr>
        <w:spacing w:after="200"/>
      </w:pPr>
      <w:r>
        <w:rPr>
          <w:rFonts w:ascii="Calibri" w:cs="Calibri" w:eastAsia="Calibri" w:hAnsi="Calibri"/>
          <w:i/>
          <w:iCs/>
          <w:color w:val="5A6672"/>
          <w:sz w:val="22"/>
          <w:szCs w:val="22"/>
        </w:rPr>
        <w:t xml:space="preserve">How well is UIx set up, what does it include, and what performance does its architecture allow — measured against the field.</w:t>
      </w:r>
    </w:p>
    <w:p>
      <w:pPr>
        <w:pBdr>
          <w:bottom w:val="single" w:color="1D5FB4" w:sz="12" w:space="1"/>
        </w:pBdr>
        <w:spacing w:after="60"/>
      </w:pPr>
      <w:r>
        <w:rPr>
          <w:rFonts w:ascii="Calibri" w:cs="Calibri" w:eastAsia="Calibri" w:hAnsi="Calibri"/>
          <w:color w:val="5A6672"/>
          <w:sz w:val="19"/>
          <w:szCs w:val="19"/>
        </w:rPr>
        <w:t xml:space="preserve">Prepared 3 July 2026</w:t>
      </w:r>
      <w:r>
        <w:rPr>
          <w:rFonts w:ascii="Calibri" w:cs="Calibri" w:eastAsia="Calibri" w:hAnsi="Calibri"/>
          <w:color w:val="C9D2DC"/>
          <w:sz w:val="19"/>
          <w:szCs w:val="19"/>
        </w:rPr>
        <w:t xml:space="preserve">     ·     </w:t>
      </w:r>
      <w:r>
        <w:rPr>
          <w:rFonts w:ascii="Calibri" w:cs="Calibri" w:eastAsia="Calibri" w:hAnsi="Calibri"/>
          <w:color w:val="5A6672"/>
          <w:sz w:val="19"/>
          <w:szCs w:val="19"/>
        </w:rPr>
        <w:t xml:space="preserve">Scope: @tensor_1/tokens + @tensor_1/react (v2.6.0)</w:t>
      </w:r>
      <w:r>
        <w:rPr>
          <w:rFonts w:ascii="Calibri" w:cs="Calibri" w:eastAsia="Calibri" w:hAnsi="Calibri"/>
          <w:color w:val="C9D2DC"/>
          <w:sz w:val="19"/>
          <w:szCs w:val="19"/>
        </w:rPr>
        <w:t xml:space="preserve">     ·     </w:t>
      </w:r>
      <w:r>
        <w:rPr>
          <w:rFonts w:ascii="Calibri" w:cs="Calibri" w:eastAsia="Calibri" w:hAnsi="Calibri"/>
          <w:color w:val="5A6672"/>
          <w:sz w:val="19"/>
          <w:szCs w:val="19"/>
        </w:rPr>
        <w:t xml:space="preserve">Audience: UIx maintainers &amp; technical stakeholders</w:t>
      </w:r>
    </w:p>
    <w:p>
      <w:pPr>
        <w:spacing w:after="120" w:before="0" w:line="276"/>
      </w:pPr>
      <w:r>
        <w:rPr>
          <w:rFonts w:ascii="Calibri" w:cs="Calibri" w:eastAsia="Calibri" w:hAnsi="Calibri"/>
          <w:color w:val="1F2933"/>
          <w:sz w:val="21"/>
          <w:szCs w:val="21"/>
        </w:rPr>
        <w:t xml:space="preserve"/>
      </w:r>
    </w:p>
    <w:p>
      <w:pPr>
        <w:pStyle w:val="Heading1"/>
        <w:spacing w:after="120" w:before="300"/>
      </w:pPr>
      <w:r>
        <w:rPr>
          <w:rFonts w:ascii="Calibri" w:cs="Calibri" w:eastAsia="Calibri" w:hAnsi="Calibri"/>
          <w:b/>
          <w:bCs/>
          <w:color w:val="1F2933"/>
          <w:sz w:val="30"/>
          <w:szCs w:val="30"/>
        </w:rPr>
        <w:t xml:space="preserve">1.  Executive summary</w:t>
      </w:r>
    </w:p>
    <w:p>
      <w:pPr>
        <w:spacing w:after="120" w:before="0" w:line="276"/>
      </w:pPr>
      <w:r>
        <w:rPr>
          <w:rFonts w:ascii="Calibri" w:cs="Calibri" w:eastAsia="Calibri" w:hAnsi="Calibri"/>
          <w:color w:val="1F2933"/>
          <w:sz w:val="21"/>
          <w:szCs w:val="21"/>
        </w:rPr>
        <w:t xml:space="preserve">UIx v2 is a framework-agnostic, token-driven design system for the house CRM/ITSM products (Tensor, POSx, SHOPx, and the mission-control surface). It ships as a two-package monorepo — </w:t>
      </w:r>
      <w:r>
        <w:rPr>
          <w:rFonts w:ascii="Calibri" w:cs="Calibri" w:eastAsia="Calibri" w:hAnsi="Calibri"/>
          <w:b/>
          <w:bCs/>
          <w:color w:val="1F2933"/>
          <w:sz w:val="21"/>
          <w:szCs w:val="21"/>
        </w:rPr>
        <w:t xml:space="preserve">@tensor_1/tokens</w:t>
      </w:r>
      <w:r>
        <w:rPr>
          <w:rFonts w:ascii="Calibri" w:cs="Calibri" w:eastAsia="Calibri" w:hAnsi="Calibri"/>
          <w:color w:val="1F2933"/>
          <w:sz w:val="21"/>
          <w:szCs w:val="21"/>
        </w:rPr>
        <w:t xml:space="preserve"> (a DTCG token source compiled by Style Dictionary into a </w:t>
      </w:r>
      <w:r>
        <w:rPr>
          <w:rFonts w:ascii="Calibri" w:cs="Calibri" w:eastAsia="Calibri" w:hAnsi="Calibri"/>
          <w:b/>
          <w:bCs/>
          <w:color w:val="1F2933"/>
          <w:sz w:val="21"/>
          <w:szCs w:val="21"/>
        </w:rPr>
        <w:t xml:space="preserve">--uix-*</w:t>
      </w:r>
      <w:r>
        <w:rPr>
          <w:rFonts w:ascii="Calibri" w:cs="Calibri" w:eastAsia="Calibri" w:hAnsi="Calibri"/>
          <w:color w:val="1F2933"/>
          <w:sz w:val="21"/>
          <w:szCs w:val="21"/>
        </w:rPr>
        <w:t xml:space="preserve"> CSS-variable contract, a Tailwind theme, and typed TS constants) and </w:t>
      </w:r>
      <w:r>
        <w:rPr>
          <w:rFonts w:ascii="Calibri" w:cs="Calibri" w:eastAsia="Calibri" w:hAnsi="Calibri"/>
          <w:b/>
          <w:bCs/>
          <w:color w:val="1F2933"/>
          <w:sz w:val="21"/>
          <w:szCs w:val="21"/>
        </w:rPr>
        <w:t xml:space="preserve">@tensor_1/react</w:t>
      </w:r>
      <w:r>
        <w:rPr>
          <w:rFonts w:ascii="Calibri" w:cs="Calibri" w:eastAsia="Calibri" w:hAnsi="Calibri"/>
          <w:color w:val="1F2933"/>
          <w:sz w:val="21"/>
          <w:szCs w:val="21"/>
        </w:rPr>
        <w:t xml:space="preserve"> (thin React wrappers plus a dependency-free table engine). It comprises 45 React components, 67 framework-agnostic CSS component files, and four product brand themes.</w:t>
      </w:r>
    </w:p>
    <w:p>
      <w:pPr>
        <w:spacing w:after="120" w:before="0" w:line="276"/>
      </w:pPr>
      <w:r>
        <w:rPr>
          <w:rFonts w:ascii="Calibri" w:cs="Calibri" w:eastAsia="Calibri" w:hAnsi="Calibri"/>
          <w:b/>
          <w:bCs/>
          <w:color w:val="1F2933"/>
          <w:sz w:val="21"/>
          <w:szCs w:val="21"/>
        </w:rPr>
        <w:t xml:space="preserve">Bootstrap is the wrong yardstick. </w:t>
      </w:r>
      <w:r>
        <w:rPr>
          <w:rFonts w:ascii="Calibri" w:cs="Calibri" w:eastAsia="Calibri" w:hAnsi="Calibri"/>
          <w:color w:val="1F2933"/>
          <w:sz w:val="21"/>
          <w:szCs w:val="21"/>
        </w:rPr>
        <w:t xml:space="preserve">Bootstrap and Bulma are pre-styled component kits with a visual identity baked into their CSS; UIx externalizes every visual decision into a portable token layer and ships semantic component classes that read only from that contract. UIx's true peers are enterprise design systems — </w:t>
      </w:r>
      <w:r>
        <w:rPr>
          <w:rFonts w:ascii="Calibri" w:cs="Calibri" w:eastAsia="Calibri" w:hAnsi="Calibri"/>
          <w:b/>
          <w:bCs/>
          <w:color w:val="1F2933"/>
          <w:sz w:val="21"/>
          <w:szCs w:val="21"/>
        </w:rPr>
        <w:t xml:space="preserve">Salesforce Lightning, IBM Carbon, Atlassian, Microsoft Fluent, ServiceNow</w:t>
      </w:r>
      <w:r>
        <w:rPr>
          <w:rFonts w:ascii="Calibri" w:cs="Calibri" w:eastAsia="Calibri" w:hAnsi="Calibri"/>
          <w:color w:val="1F2933"/>
          <w:sz w:val="21"/>
          <w:szCs w:val="21"/>
        </w:rPr>
        <w:t xml:space="preserve"> — and, on architecture, the token/headless tooling those systems are built from: </w:t>
      </w:r>
      <w:r>
        <w:rPr>
          <w:rFonts w:ascii="Calibri" w:cs="Calibri" w:eastAsia="Calibri" w:hAnsi="Calibri"/>
          <w:b/>
          <w:bCs/>
          <w:color w:val="1F2933"/>
          <w:sz w:val="21"/>
          <w:szCs w:val="21"/>
        </w:rPr>
        <w:t xml:space="preserve">Style Dictionary, Radix, shadcn/ui, and Tailwind v4.</w:t>
      </w:r>
    </w:p>
    <w:p>
      <w:pPr>
        <w:spacing w:after="120" w:before="0" w:line="276"/>
      </w:pPr>
      <w:r>
        <w:rPr>
          <w:rFonts w:ascii="Calibri" w:cs="Calibri" w:eastAsia="Calibri" w:hAnsi="Calibri"/>
          <w:b/>
          <w:bCs/>
          <w:color w:val="1F2933"/>
          <w:sz w:val="21"/>
          <w:szCs w:val="21"/>
        </w:rPr>
        <w:t xml:space="preserve">Verdict. </w:t>
      </w:r>
      <w:r>
        <w:rPr>
          <w:rFonts w:ascii="Calibri" w:cs="Calibri" w:eastAsia="Calibri" w:hAnsi="Calibri"/>
          <w:color w:val="1F2933"/>
          <w:sz w:val="21"/>
          <w:szCs w:val="21"/>
        </w:rPr>
        <w:t xml:space="preserve">UIx punches well above its size on the axes that are hard to fake. Its token-contract architecture, styling/runtime-performance model, CI trust-gates, and versioning governance sit at or above the level of systems built by far larger teams. It lags on the axes that take scale and sustained investment — component breadth, a public documentation site, formal accessibility certification, published performance evidence, and external adoption. That is the expected shape for a disciplined in-house system: </w:t>
      </w:r>
      <w:r>
        <w:rPr>
          <w:rFonts w:ascii="Calibri" w:cs="Calibri" w:eastAsia="Calibri" w:hAnsi="Calibri"/>
          <w:b/>
          <w:bCs/>
          <w:color w:val="1F2933"/>
          <w:sz w:val="21"/>
          <w:szCs w:val="21"/>
        </w:rPr>
        <w:t xml:space="preserve">the foundation is excellent; the gaps are about surface area and proof, not architecture.</w:t>
      </w:r>
    </w:p>
    <w:p>
      <w:pPr>
        <w:spacing w:after="120" w:before="0" w:line="276"/>
      </w:pPr>
      <w:r>
        <w:rPr>
          <w:rFonts w:ascii="Calibri" w:cs="Calibri" w:eastAsia="Calibri" w:hAnsi="Calibri"/>
          <w:i/>
          <w:iCs/>
          <w:color w:val="5A6672"/>
          <w:sz w:val="21"/>
          <w:szCs w:val="21"/>
        </w:rPr>
        <w:t xml:space="preserve">Composite read across twelve dimensions: strong on tokens, styling, testing/CI, and governance (5/5); mid on breadth, docs, distribution, and measured-performance evidence (3/5); weakest on formal a11y certification (2/5). Details in sections 4–6; prioritized actions in section 7.</w:t>
      </w:r>
    </w:p>
    <w:p>
      <w:pPr>
        <w:pStyle w:val="Heading1"/>
        <w:spacing w:after="120" w:before="300"/>
      </w:pPr>
      <w:r>
        <w:rPr>
          <w:rFonts w:ascii="Calibri" w:cs="Calibri" w:eastAsia="Calibri" w:hAnsi="Calibri"/>
          <w:b/>
          <w:bCs/>
          <w:color w:val="1F2933"/>
          <w:sz w:val="30"/>
          <w:szCs w:val="30"/>
        </w:rPr>
        <w:t xml:space="preserve">2.  What UIx actually is</w:t>
      </w:r>
    </w:p>
    <w:p>
      <w:pPr>
        <w:spacing w:after="120" w:before="0" w:line="276"/>
      </w:pPr>
      <w:r>
        <w:rPr>
          <w:rFonts w:ascii="Calibri" w:cs="Calibri" w:eastAsia="Calibri" w:hAnsi="Calibri"/>
          <w:color w:val="1F2933"/>
          <w:sz w:val="21"/>
          <w:szCs w:val="21"/>
        </w:rPr>
        <w:t xml:space="preserve">A fair comparison starts from an accurate inventory. UIx is four coordinated layers driven from one token source:</w:t>
      </w:r>
    </w:p>
    <w:tbl>
      <w:tblPr>
        <w:tblW w:type="dxa" w:w="9360"/>
        <w:tblBorders>
          <w:top w:val="single" w:color="C9D2DC" w:sz="4"/>
          <w:left w:val="single" w:color="C9D2DC" w:sz="4"/>
          <w:bottom w:val="single" w:color="C9D2DC" w:sz="4"/>
          <w:right w:val="single" w:color="C9D2DC" w:sz="4"/>
          <w:insideH w:val="single" w:color="auto" w:sz="4"/>
          <w:insideV w:val="single" w:color="auto" w:sz="4"/>
        </w:tblBorders>
        <w:tblLayout w:type="fixed"/>
      </w:tblPr>
      <w:tblGrid>
        <w:gridCol w:w="2100"/>
        <w:gridCol w:w="4060"/>
        <w:gridCol w:w="3200"/>
      </w:tblGrid>
      <w:tr>
        <w:trPr>
          <w:tblHeader/>
        </w:trPr>
        <w:tc>
          <w:tcPr>
            <w:tcW w:type="dxa" w:w="2100"/>
            <w:shd w:fill="1F2933"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9"/>
                <w:szCs w:val="19"/>
              </w:rPr>
              <w:t xml:space="preserve">Layer</w:t>
            </w:r>
          </w:p>
        </w:tc>
        <w:tc>
          <w:tcPr>
            <w:tcW w:type="dxa" w:w="4060"/>
            <w:shd w:fill="1F2933"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9"/>
                <w:szCs w:val="19"/>
              </w:rPr>
              <w:t xml:space="preserve">Source → build output</w:t>
            </w:r>
          </w:p>
        </w:tc>
        <w:tc>
          <w:tcPr>
            <w:tcW w:type="dxa" w:w="3200"/>
            <w:shd w:fill="1F2933"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9"/>
                <w:szCs w:val="19"/>
              </w:rPr>
              <w:t xml:space="preserve">Consumed as</w:t>
            </w:r>
          </w:p>
        </w:tc>
      </w:tr>
      <w:tr>
        <w:tc>
          <w:tcPr>
            <w:tcW w:type="dxa" w:w="2100"/>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Tokens </w:t>
            </w:r>
            <w:r>
              <w:rPr>
                <w:rFonts w:ascii="Calibri" w:cs="Calibri" w:eastAsia="Calibri" w:hAnsi="Calibri"/>
                <w:color w:val="5A6672"/>
                <w:sz w:val="17"/>
                <w:szCs w:val="17"/>
              </w:rPr>
              <w:t xml:space="preserve">(--uix-* contract)</w:t>
            </w:r>
          </w:p>
        </w:tc>
        <w:tc>
          <w:tcPr>
            <w:tcW w:type="dxa" w:w="40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tokens/*.json (W3C DTCG)  →  Style Dictionary v4  →  build/css/tokens.css + Tailwind @theme (v4) + preset.cjs (v3) + typed TS (cssVar / light / dark / num)</w:t>
            </w:r>
          </w:p>
        </w:tc>
        <w:tc>
          <w:tcPr>
            <w:tcW w:type="dxa" w:w="320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@tensor_1/tokens/{css,tailwind,ts}</w:t>
            </w:r>
          </w:p>
        </w:tc>
      </w:tr>
      <w:tr>
        <w:tc>
          <w:tcPr>
            <w:tcW w:type="dxa" w:w="21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Per-product brand</w:t>
            </w:r>
          </w:p>
        </w:tc>
        <w:tc>
          <w:tcPr>
            <w:tcW w:type="dxa" w:w="40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themes/*.tokens.json  →  themes/*.css  (write-only --uix-brand / --uix-brand-fg slots; accent / link / ring / brand-muted re-chain via var() fallbacks)</w:t>
            </w:r>
          </w:p>
        </w:tc>
        <w:tc>
          <w:tcPr>
            <w:tcW w:type="dxa" w:w="320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@tensor_1/tokens/themes/&lt;product&gt;</w:t>
            </w:r>
          </w:p>
        </w:tc>
      </w:tr>
      <w:tr>
        <w:tc>
          <w:tcPr>
            <w:tcW w:type="dxa" w:w="2100"/>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CSS components</w:t>
            </w:r>
          </w:p>
        </w:tc>
        <w:tc>
          <w:tcPr>
            <w:tcW w:type="dxa" w:w="40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styles/components/*.css  (67 files, .uix-* classes, CSS cascade layers)  →  build/css/styles.css</w:t>
            </w:r>
          </w:p>
        </w:tc>
        <w:tc>
          <w:tcPr>
            <w:tcW w:type="dxa" w:w="320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drop-in classes (no build)</w:t>
            </w:r>
          </w:p>
        </w:tc>
      </w:tr>
      <w:tr>
        <w:tc>
          <w:tcPr>
            <w:tcW w:type="dxa" w:w="21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React wrappers</w:t>
            </w:r>
          </w:p>
        </w:tc>
        <w:tc>
          <w:tcPr>
            <w:tcW w:type="dxa" w:w="40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packages/react/src/components/*.tsx  (45 components + table engine + hooks)  →  dist (ESM + CJS)</w:t>
            </w:r>
          </w:p>
        </w:tc>
        <w:tc>
          <w:tcPr>
            <w:tcW w:type="dxa" w:w="320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@tensor_1/react</w:t>
            </w:r>
          </w:p>
        </w:tc>
      </w:tr>
    </w:tbl>
    <w:p>
      <w:pPr>
        <w:spacing w:after="40" w:before="0" w:line="276"/>
      </w:pPr>
      <w:r>
        <w:rPr>
          <w:rFonts w:ascii="Calibri" w:cs="Calibri" w:eastAsia="Calibri" w:hAnsi="Calibri"/>
          <w:color w:val="1F2933"/>
          <w:sz w:val="6"/>
          <w:szCs w:val="6"/>
        </w:rPr>
        <w:t xml:space="preserve"/>
      </w:r>
    </w:p>
    <w:p>
      <w:pPr>
        <w:spacing w:after="120" w:before="0" w:line="276"/>
      </w:pPr>
      <w:r>
        <w:rPr>
          <w:rFonts w:ascii="Calibri" w:cs="Calibri" w:eastAsia="Calibri" w:hAnsi="Calibri"/>
          <w:b/>
          <w:bCs/>
          <w:color w:val="1F2933"/>
          <w:sz w:val="21"/>
          <w:szCs w:val="21"/>
        </w:rPr>
        <w:t xml:space="preserve">Distribution model: </w:t>
      </w:r>
      <w:r>
        <w:rPr>
          <w:rFonts w:ascii="Calibri" w:cs="Calibri" w:eastAsia="Calibri" w:hAnsi="Calibri"/>
          <w:color w:val="1F2933"/>
          <w:sz w:val="21"/>
          <w:szCs w:val="21"/>
        </w:rPr>
        <w:t xml:space="preserve">packages are versioned with Changesets and vendored into each product (e.g. Tensor's </w:t>
      </w:r>
      <w:r>
        <w:rPr>
          <w:rFonts w:ascii="Calibri" w:cs="Calibri" w:eastAsia="Calibri" w:hAnsi="Calibri"/>
          <w:i/>
          <w:iCs/>
          <w:color w:val="1F2933"/>
          <w:sz w:val="21"/>
          <w:szCs w:val="21"/>
        </w:rPr>
        <w:t xml:space="preserve">uix:sync</w:t>
      </w:r>
      <w:r>
        <w:rPr>
          <w:rFonts w:ascii="Calibri" w:cs="Calibri" w:eastAsia="Calibri" w:hAnsi="Calibri"/>
          <w:color w:val="1F2933"/>
          <w:sz w:val="21"/>
          <w:szCs w:val="21"/>
        </w:rPr>
        <w:t xml:space="preserve">). The governing policy is single-source: “all product UI is UIx UI” — products do not fork or hand-roll components; a missing component is a UIx gap to fill upstream, not a local one-off. Spacing, table-column sizing, motion, and severity tones are all contractual token vocabularies rather than per-app conventions.</w:t>
      </w:r>
    </w:p>
    <w:p>
      <w:pPr>
        <w:pStyle w:val="Heading1"/>
        <w:spacing w:after="120" w:before="300"/>
      </w:pPr>
      <w:r>
        <w:rPr>
          <w:rFonts w:ascii="Calibri" w:cs="Calibri" w:eastAsia="Calibri" w:hAnsi="Calibri"/>
          <w:b/>
          <w:bCs/>
          <w:color w:val="1F2933"/>
          <w:sz w:val="30"/>
          <w:szCs w:val="30"/>
        </w:rPr>
        <w:t xml:space="preserve">3.  The comparator landscape</w:t>
      </w:r>
    </w:p>
    <w:p>
      <w:pPr>
        <w:spacing w:after="120" w:before="0" w:line="276"/>
      </w:pPr>
      <w:r>
        <w:rPr>
          <w:rFonts w:ascii="Calibri" w:cs="Calibri" w:eastAsia="Calibri" w:hAnsi="Calibri"/>
          <w:color w:val="1F2933"/>
          <w:sz w:val="21"/>
          <w:szCs w:val="21"/>
        </w:rPr>
        <w:t xml:space="preserve">The three families you asked to benchmark against differ in how fair a comparison they make. In short: enterprise design systems are the right </w:t>
      </w:r>
      <w:r>
        <w:rPr>
          <w:rFonts w:ascii="Calibri" w:cs="Calibri" w:eastAsia="Calibri" w:hAnsi="Calibri"/>
          <w:i/>
          <w:iCs/>
          <w:color w:val="1F2933"/>
          <w:sz w:val="21"/>
          <w:szCs w:val="21"/>
        </w:rPr>
        <w:t xml:space="preserve">what</w:t>
      </w:r>
      <w:r>
        <w:rPr>
          <w:rFonts w:ascii="Calibri" w:cs="Calibri" w:eastAsia="Calibri" w:hAnsi="Calibri"/>
          <w:color w:val="1F2933"/>
          <w:sz w:val="21"/>
          <w:szCs w:val="21"/>
        </w:rPr>
        <w:t xml:space="preserve"> peers; token/headless tooling are the right </w:t>
      </w:r>
      <w:r>
        <w:rPr>
          <w:rFonts w:ascii="Calibri" w:cs="Calibri" w:eastAsia="Calibri" w:hAnsi="Calibri"/>
          <w:i/>
          <w:iCs/>
          <w:color w:val="1F2933"/>
          <w:sz w:val="21"/>
          <w:szCs w:val="21"/>
        </w:rPr>
        <w:t xml:space="preserve">how</w:t>
      </w:r>
      <w:r>
        <w:rPr>
          <w:rFonts w:ascii="Calibri" w:cs="Calibri" w:eastAsia="Calibri" w:hAnsi="Calibri"/>
          <w:color w:val="1F2933"/>
          <w:sz w:val="21"/>
          <w:szCs w:val="21"/>
        </w:rPr>
        <w:t xml:space="preserve"> peers; classic CSS frameworks are mostly a foil.</w:t>
      </w:r>
    </w:p>
    <w:tbl>
      <w:tblPr>
        <w:tblW w:type="dxa" w:w="9360"/>
        <w:tblBorders>
          <w:top w:val="single" w:color="C9D2DC" w:sz="4"/>
          <w:left w:val="single" w:color="C9D2DC" w:sz="4"/>
          <w:bottom w:val="single" w:color="C9D2DC" w:sz="4"/>
          <w:right w:val="single" w:color="C9D2DC" w:sz="4"/>
          <w:insideH w:val="single" w:color="auto" w:sz="4"/>
          <w:insideV w:val="single" w:color="auto" w:sz="4"/>
        </w:tblBorders>
        <w:tblLayout w:type="fixed"/>
      </w:tblPr>
      <w:tblGrid>
        <w:gridCol w:w="1900"/>
        <w:gridCol w:w="1900"/>
        <w:gridCol w:w="5560"/>
      </w:tblGrid>
      <w:tr>
        <w:trPr>
          <w:tblHeader/>
        </w:trPr>
        <w:tc>
          <w:tcPr>
            <w:tcW w:type="dxa" w:w="1900"/>
            <w:shd w:fill="1F2933"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9"/>
                <w:szCs w:val="19"/>
              </w:rPr>
              <w:t xml:space="preserve">System</w:t>
            </w:r>
          </w:p>
        </w:tc>
        <w:tc>
          <w:tcPr>
            <w:tcW w:type="dxa" w:w="1900"/>
            <w:shd w:fill="1F2933"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9"/>
                <w:szCs w:val="19"/>
              </w:rPr>
              <w:t xml:space="preserve">Category</w:t>
            </w:r>
          </w:p>
        </w:tc>
        <w:tc>
          <w:tcPr>
            <w:tcW w:type="dxa" w:w="5560"/>
            <w:shd w:fill="1F2933"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9"/>
                <w:szCs w:val="19"/>
              </w:rPr>
              <w:t xml:space="preserve">Relevance to UIx</w:t>
            </w:r>
          </w:p>
        </w:tc>
      </w:tr>
      <w:tr>
        <w:tc>
          <w:tcPr>
            <w:tcW w:type="dxa" w:w="1900"/>
            <w:tcMar>
              <w:top w:type="dxa" w:w="60"/>
              <w:left w:type="dxa" w:w="90"/>
              <w:bottom w:type="dxa" w:w="60"/>
              <w:right w:type="dxa" w:w="90"/>
            </w:tcMar>
            <w:vAlign w:val="top"/>
          </w:tcPr>
          <w:p>
            <w:pPr>
              <w:spacing w:after="0" w:line="250"/>
            </w:pPr>
            <w:r>
              <w:rPr>
                <w:rFonts w:ascii="Calibri" w:cs="Calibri" w:eastAsia="Calibri" w:hAnsi="Calibri"/>
                <w:b/>
                <w:bCs/>
                <w:color w:val="1F2933"/>
                <w:sz w:val="18"/>
                <w:szCs w:val="18"/>
              </w:rPr>
              <w:t xml:space="preserve">IBM Carbon</w:t>
            </w:r>
          </w:p>
        </w:tc>
        <w:tc>
          <w:tcPr>
            <w:tcW w:type="dxa" w:w="1900"/>
            <w:tcMar>
              <w:top w:type="dxa" w:w="60"/>
              <w:left w:type="dxa" w:w="90"/>
              <w:bottom w:type="dxa" w:w="60"/>
              <w:right w:type="dxa" w:w="90"/>
            </w:tcMar>
            <w:vAlign w:val="top"/>
          </w:tcPr>
          <w:p>
            <w:pPr>
              <w:spacing w:after="0" w:line="250"/>
            </w:pPr>
            <w:r>
              <w:rPr>
                <w:rFonts w:ascii="Calibri" w:cs="Calibri" w:eastAsia="Calibri" w:hAnsi="Calibri"/>
                <w:color w:val="5A6672"/>
                <w:sz w:val="18"/>
                <w:szCs w:val="18"/>
              </w:rPr>
              <w:t xml:space="preserve">Enterprise DS</w:t>
            </w:r>
          </w:p>
        </w:tc>
        <w:tc>
          <w:tcPr>
            <w:tcW w:type="dxa" w:w="55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Closest structural peer: open-source, staged component maturity (Draft→Stable), Sass tokens (DTCG migration in progress), React + Lit web components. Sets the bar on breadth, docs, and process.</w:t>
            </w:r>
          </w:p>
        </w:tc>
      </w:tr>
      <w:tr>
        <w:tc>
          <w:tcPr>
            <w:tcW w:type="dxa" w:w="19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8"/>
                <w:szCs w:val="18"/>
              </w:rPr>
              <w:t xml:space="preserve">Salesforce Lightning</w:t>
            </w:r>
          </w:p>
        </w:tc>
        <w:tc>
          <w:tcPr>
            <w:tcW w:type="dxa" w:w="190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5A6672"/>
                <w:sz w:val="18"/>
                <w:szCs w:val="18"/>
              </w:rPr>
              <w:t xml:space="preserve">Enterprise DS</w:t>
            </w:r>
          </w:p>
        </w:tc>
        <w:tc>
          <w:tcPr>
            <w:tcW w:type="dxa" w:w="55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CSS-only, CRM-domain peer. SLDS 2 moves to native CSS custom-property “styling hooks” — validating UIx's CSS-variable-first bet. Legacy tokens were YAML/Theo, not DTCG.</w:t>
            </w:r>
          </w:p>
        </w:tc>
      </w:tr>
      <w:tr>
        <w:tc>
          <w:tcPr>
            <w:tcW w:type="dxa" w:w="1900"/>
            <w:tcMar>
              <w:top w:type="dxa" w:w="60"/>
              <w:left w:type="dxa" w:w="90"/>
              <w:bottom w:type="dxa" w:w="60"/>
              <w:right w:type="dxa" w:w="90"/>
            </w:tcMar>
            <w:vAlign w:val="top"/>
          </w:tcPr>
          <w:p>
            <w:pPr>
              <w:spacing w:after="0" w:line="250"/>
            </w:pPr>
            <w:r>
              <w:rPr>
                <w:rFonts w:ascii="Calibri" w:cs="Calibri" w:eastAsia="Calibri" w:hAnsi="Calibri"/>
                <w:b/>
                <w:bCs/>
                <w:color w:val="1F2933"/>
                <w:sz w:val="18"/>
                <w:szCs w:val="18"/>
              </w:rPr>
              <w:t xml:space="preserve">Atlassian</w:t>
            </w:r>
          </w:p>
        </w:tc>
        <w:tc>
          <w:tcPr>
            <w:tcW w:type="dxa" w:w="1900"/>
            <w:tcMar>
              <w:top w:type="dxa" w:w="60"/>
              <w:left w:type="dxa" w:w="90"/>
              <w:bottom w:type="dxa" w:w="60"/>
              <w:right w:type="dxa" w:w="90"/>
            </w:tcMar>
            <w:vAlign w:val="top"/>
          </w:tcPr>
          <w:p>
            <w:pPr>
              <w:spacing w:after="0" w:line="250"/>
            </w:pPr>
            <w:r>
              <w:rPr>
                <w:rFonts w:ascii="Calibri" w:cs="Calibri" w:eastAsia="Calibri" w:hAnsi="Calibri"/>
                <w:color w:val="5A6672"/>
                <w:sz w:val="18"/>
                <w:szCs w:val="18"/>
              </w:rPr>
              <w:t xml:space="preserve">Enterprise DS</w:t>
            </w:r>
          </w:p>
        </w:tc>
        <w:tc>
          <w:tcPr>
            <w:tcW w:type="dxa" w:w="55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ITSM / issue-tracking domain peer. @atlaskit/tokens uses Style Dictionary; styling via Compiled (zero-runtime, migration off Emotion incomplete). React-only; contribution is employees-only.</w:t>
            </w:r>
          </w:p>
        </w:tc>
      </w:tr>
      <w:tr>
        <w:tc>
          <w:tcPr>
            <w:tcW w:type="dxa" w:w="19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8"/>
                <w:szCs w:val="18"/>
              </w:rPr>
              <w:t xml:space="preserve">Microsoft Fluent</w:t>
            </w:r>
          </w:p>
        </w:tc>
        <w:tc>
          <w:tcPr>
            <w:tcW w:type="dxa" w:w="190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5A6672"/>
                <w:sz w:val="18"/>
                <w:szCs w:val="18"/>
              </w:rPr>
              <w:t xml:space="preserve">Enterprise DS</w:t>
            </w:r>
          </w:p>
        </w:tc>
        <w:tc>
          <w:tcPr>
            <w:tcW w:type="dxa" w:w="55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Largest, most active. Griffel “near-zero-runtime” CSS-in-JS (runtime by default); JS-object tokens (DTCG package still alpha); named high-contrast theme. Confirmed in Dynamics 365 CRM.</w:t>
            </w:r>
          </w:p>
        </w:tc>
      </w:tr>
      <w:tr>
        <w:tc>
          <w:tcPr>
            <w:tcW w:type="dxa" w:w="1900"/>
            <w:tcMar>
              <w:top w:type="dxa" w:w="60"/>
              <w:left w:type="dxa" w:w="90"/>
              <w:bottom w:type="dxa" w:w="60"/>
              <w:right w:type="dxa" w:w="90"/>
            </w:tcMar>
            <w:vAlign w:val="top"/>
          </w:tcPr>
          <w:p>
            <w:pPr>
              <w:spacing w:after="0" w:line="250"/>
            </w:pPr>
            <w:r>
              <w:rPr>
                <w:rFonts w:ascii="Calibri" w:cs="Calibri" w:eastAsia="Calibri" w:hAnsi="Calibri"/>
                <w:b/>
                <w:bCs/>
                <w:color w:val="1F2933"/>
                <w:sz w:val="18"/>
                <w:szCs w:val="18"/>
              </w:rPr>
              <w:t xml:space="preserve">ServiceNow (Now/Horizon)</w:t>
            </w:r>
          </w:p>
        </w:tc>
        <w:tc>
          <w:tcPr>
            <w:tcW w:type="dxa" w:w="1900"/>
            <w:tcMar>
              <w:top w:type="dxa" w:w="60"/>
              <w:left w:type="dxa" w:w="90"/>
              <w:bottom w:type="dxa" w:w="60"/>
              <w:right w:type="dxa" w:w="90"/>
            </w:tcMar>
            <w:vAlign w:val="top"/>
          </w:tcPr>
          <w:p>
            <w:pPr>
              <w:spacing w:after="0" w:line="250"/>
            </w:pPr>
            <w:r>
              <w:rPr>
                <w:rFonts w:ascii="Calibri" w:cs="Calibri" w:eastAsia="Calibri" w:hAnsi="Calibri"/>
                <w:color w:val="5A6672"/>
                <w:sz w:val="18"/>
                <w:szCs w:val="18"/>
              </w:rPr>
              <w:t xml:space="preserve">Enterprise DS</w:t>
            </w:r>
          </w:p>
        </w:tc>
        <w:tc>
          <w:tcPr>
            <w:tcW w:type="dxa" w:w="55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ITSM incumbent. Strongest multi-tenant theming (drag-and-drop Theme Builder) but closed-source, no public repo, Sass globals rather than a token pipeline.</w:t>
            </w:r>
          </w:p>
        </w:tc>
      </w:tr>
      <w:tr>
        <w:tc>
          <w:tcPr>
            <w:tcW w:type="dxa" w:w="19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8"/>
                <w:szCs w:val="18"/>
              </w:rPr>
              <w:t xml:space="preserve">Style Dictionary</w:t>
            </w:r>
          </w:p>
        </w:tc>
        <w:tc>
          <w:tcPr>
            <w:tcW w:type="dxa" w:w="190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5A6672"/>
                <w:sz w:val="18"/>
                <w:szCs w:val="18"/>
              </w:rPr>
              <w:t xml:space="preserve">Token tooling</w:t>
            </w:r>
          </w:p>
        </w:tc>
        <w:tc>
          <w:tcPr>
            <w:tcW w:type="dxa" w:w="55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The engine UIx already uses. A DTCG reference implementation — UIx's pipeline is the tool's canonical use, not a workaround.</w:t>
            </w:r>
          </w:p>
        </w:tc>
      </w:tr>
      <w:tr>
        <w:tc>
          <w:tcPr>
            <w:tcW w:type="dxa" w:w="1900"/>
            <w:tcMar>
              <w:top w:type="dxa" w:w="60"/>
              <w:left w:type="dxa" w:w="90"/>
              <w:bottom w:type="dxa" w:w="60"/>
              <w:right w:type="dxa" w:w="90"/>
            </w:tcMar>
            <w:vAlign w:val="top"/>
          </w:tcPr>
          <w:p>
            <w:pPr>
              <w:spacing w:after="0" w:line="250"/>
            </w:pPr>
            <w:r>
              <w:rPr>
                <w:rFonts w:ascii="Calibri" w:cs="Calibri" w:eastAsia="Calibri" w:hAnsi="Calibri"/>
                <w:b/>
                <w:bCs/>
                <w:color w:val="1F2933"/>
                <w:sz w:val="18"/>
                <w:szCs w:val="18"/>
              </w:rPr>
              <w:t xml:space="preserve">Radix UI</w:t>
            </w:r>
          </w:p>
        </w:tc>
        <w:tc>
          <w:tcPr>
            <w:tcW w:type="dxa" w:w="1900"/>
            <w:tcMar>
              <w:top w:type="dxa" w:w="60"/>
              <w:left w:type="dxa" w:w="90"/>
              <w:bottom w:type="dxa" w:w="60"/>
              <w:right w:type="dxa" w:w="90"/>
            </w:tcMar>
            <w:vAlign w:val="top"/>
          </w:tcPr>
          <w:p>
            <w:pPr>
              <w:spacing w:after="0" w:line="250"/>
            </w:pPr>
            <w:r>
              <w:rPr>
                <w:rFonts w:ascii="Calibri" w:cs="Calibri" w:eastAsia="Calibri" w:hAnsi="Calibri"/>
                <w:color w:val="5A6672"/>
                <w:sz w:val="18"/>
                <w:szCs w:val="18"/>
              </w:rPr>
              <w:t xml:space="preserve">Headless tooling</w:t>
            </w:r>
          </w:p>
        </w:tc>
        <w:tc>
          <w:tcPr>
            <w:tcW w:type="dxa" w:w="55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Behavior/accessibility primitives + Themes (CSS variables, cascade layers). UIx's headless-logic-plus-optional-skin split is the same instinct, framework-agnostic.</w:t>
            </w:r>
          </w:p>
        </w:tc>
      </w:tr>
      <w:tr>
        <w:tc>
          <w:tcPr>
            <w:tcW w:type="dxa" w:w="19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8"/>
                <w:szCs w:val="18"/>
              </w:rPr>
              <w:t xml:space="preserve">shadcn/ui</w:t>
            </w:r>
          </w:p>
        </w:tc>
        <w:tc>
          <w:tcPr>
            <w:tcW w:type="dxa" w:w="190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5A6672"/>
                <w:sz w:val="18"/>
                <w:szCs w:val="18"/>
              </w:rPr>
              <w:t xml:space="preserve">Distribution model</w:t>
            </w:r>
          </w:p>
        </w:tc>
        <w:tc>
          <w:tcPr>
            <w:tcW w:type="dxa" w:w="55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Copy-in components via CLI/registry, semantic CSS-var tokens on Tailwind. The distribution counter-model to UIx's versioned-npm approach.</w:t>
            </w:r>
          </w:p>
        </w:tc>
      </w:tr>
      <w:tr>
        <w:tc>
          <w:tcPr>
            <w:tcW w:type="dxa" w:w="1900"/>
            <w:tcMar>
              <w:top w:type="dxa" w:w="60"/>
              <w:left w:type="dxa" w:w="90"/>
              <w:bottom w:type="dxa" w:w="60"/>
              <w:right w:type="dxa" w:w="90"/>
            </w:tcMar>
            <w:vAlign w:val="top"/>
          </w:tcPr>
          <w:p>
            <w:pPr>
              <w:spacing w:after="0" w:line="250"/>
            </w:pPr>
            <w:r>
              <w:rPr>
                <w:rFonts w:ascii="Calibri" w:cs="Calibri" w:eastAsia="Calibri" w:hAnsi="Calibri"/>
                <w:b/>
                <w:bCs/>
                <w:color w:val="1F2933"/>
                <w:sz w:val="18"/>
                <w:szCs w:val="18"/>
              </w:rPr>
              <w:t xml:space="preserve">Tailwind v4</w:t>
            </w:r>
          </w:p>
        </w:tc>
        <w:tc>
          <w:tcPr>
            <w:tcW w:type="dxa" w:w="1900"/>
            <w:tcMar>
              <w:top w:type="dxa" w:w="60"/>
              <w:left w:type="dxa" w:w="90"/>
              <w:bottom w:type="dxa" w:w="60"/>
              <w:right w:type="dxa" w:w="90"/>
            </w:tcMar>
            <w:vAlign w:val="top"/>
          </w:tcPr>
          <w:p>
            <w:pPr>
              <w:spacing w:after="0" w:line="250"/>
            </w:pPr>
            <w:r>
              <w:rPr>
                <w:rFonts w:ascii="Calibri" w:cs="Calibri" w:eastAsia="Calibri" w:hAnsi="Calibri"/>
                <w:color w:val="5A6672"/>
                <w:sz w:val="18"/>
                <w:szCs w:val="18"/>
              </w:rPr>
              <w:t xml:space="preserve">Token/CSS engine</w:t>
            </w:r>
          </w:p>
        </w:tc>
        <w:tc>
          <w:tcPr>
            <w:tcW w:type="dxa" w:w="55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CSS-first @theme tokens + cascade layers — the clearest architectural overlap. UIx ships a Tailwind theme, treating Tailwind as a token consumer (correct direction).</w:t>
            </w:r>
          </w:p>
        </w:tc>
      </w:tr>
      <w:tr>
        <w:tc>
          <w:tcPr>
            <w:tcW w:type="dxa" w:w="19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8"/>
                <w:szCs w:val="18"/>
              </w:rPr>
              <w:t xml:space="preserve">Bootstrap / Bulma</w:t>
            </w:r>
          </w:p>
        </w:tc>
        <w:tc>
          <w:tcPr>
            <w:tcW w:type="dxa" w:w="190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5A6672"/>
                <w:sz w:val="18"/>
                <w:szCs w:val="18"/>
              </w:rPr>
              <w:t xml:space="preserve">CSS framework</w:t>
            </w:r>
          </w:p>
        </w:tc>
        <w:tc>
          <w:tcPr>
            <w:tcW w:type="dxa" w:w="55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Weak comparators: pre-styled component kits, Sass-first theming, ship the whole framework and purge later. Useful only as a contrast to UIx's token-driven, build-free-to-consume model.</w:t>
            </w:r>
          </w:p>
        </w:tc>
      </w:tr>
    </w:tbl>
    <w:p>
      <w:pPr>
        <w:spacing w:after="40" w:before="0" w:line="276"/>
      </w:pPr>
      <w:r>
        <w:rPr>
          <w:rFonts w:ascii="Calibri" w:cs="Calibri" w:eastAsia="Calibri" w:hAnsi="Calibri"/>
          <w:color w:val="1F2933"/>
          <w:sz w:val="6"/>
          <w:szCs w:val="6"/>
        </w:rPr>
        <w:t xml:space="preserve"/>
      </w:r>
    </w:p>
    <w:p>
      <w:pPr>
        <w:spacing w:after="120" w:before="0" w:line="276"/>
      </w:pPr>
      <w:r>
        <w:rPr>
          <w:rFonts w:ascii="Calibri" w:cs="Calibri" w:eastAsia="Calibri" w:hAnsi="Calibri"/>
          <w:b/>
          <w:bCs/>
          <w:color w:val="1F2933"/>
          <w:sz w:val="21"/>
          <w:szCs w:val="21"/>
        </w:rPr>
        <w:t xml:space="preserve">Why Bootstrap/Bulma fall away. </w:t>
      </w:r>
      <w:r>
        <w:rPr>
          <w:rFonts w:ascii="Calibri" w:cs="Calibri" w:eastAsia="Calibri" w:hAnsi="Calibri"/>
          <w:color w:val="1F2933"/>
          <w:sz w:val="21"/>
          <w:szCs w:val="21"/>
        </w:rPr>
        <w:t xml:space="preserve">Both were verified at their current releases: Bootstrap 5.3 ships ~30.8 KB CSS + 16.5 KB JS (min+gzip) with Sass-first theming and a partial </w:t>
      </w:r>
      <w:r>
        <w:rPr>
          <w:rFonts w:ascii="Calibri" w:cs="Calibri" w:eastAsia="Calibri" w:hAnsi="Calibri"/>
          <w:i/>
          <w:iCs/>
          <w:color w:val="1F2933"/>
          <w:sz w:val="21"/>
          <w:szCs w:val="21"/>
        </w:rPr>
        <w:t xml:space="preserve">--bs-*</w:t>
      </w:r>
      <w:r>
        <w:rPr>
          <w:rFonts w:ascii="Calibri" w:cs="Calibri" w:eastAsia="Calibri" w:hAnsi="Calibri"/>
          <w:color w:val="1F2933"/>
          <w:sz w:val="21"/>
          <w:szCs w:val="21"/>
        </w:rPr>
        <w:t xml:space="preserve"> variable layer; Bulma 1.x ships ~65.2 KB CSS, no JS, with a fuller </w:t>
      </w:r>
      <w:r>
        <w:rPr>
          <w:rFonts w:ascii="Calibri" w:cs="Calibri" w:eastAsia="Calibri" w:hAnsi="Calibri"/>
          <w:i/>
          <w:iCs/>
          <w:color w:val="1F2933"/>
          <w:sz w:val="21"/>
          <w:szCs w:val="21"/>
        </w:rPr>
        <w:t xml:space="preserve">--bulma-*</w:t>
      </w:r>
      <w:r>
        <w:rPr>
          <w:rFonts w:ascii="Calibri" w:cs="Calibri" w:eastAsia="Calibri" w:hAnsi="Calibri"/>
          <w:color w:val="1F2933"/>
          <w:sz w:val="21"/>
          <w:szCs w:val="21"/>
        </w:rPr>
        <w:t xml:space="preserve"> layer. Neither uses native cascade layers; both ship the entire framework unless you manually curate Sass imports or bolt on PurgeCSS. UIx's per-file CSS split gives coarse dead-code avoidance with no build step at all, and its theming is a vendor-neutral DTCG token contract rather than framework-owned Sass variables. The one real overlap is Tailwind v4, which independently arrived at CSS-variable tokens and cascade layers — the same two foundations UIx is built on.</w:t>
      </w:r>
    </w:p>
    <w:p>
      <w:r>
        <w:br w:type="page"/>
      </w:r>
    </w:p>
    <w:p>
      <w:pPr>
        <w:pStyle w:val="Heading1"/>
        <w:spacing w:after="120" w:before="300"/>
      </w:pPr>
      <w:r>
        <w:rPr>
          <w:rFonts w:ascii="Calibri" w:cs="Calibri" w:eastAsia="Calibri" w:hAnsi="Calibri"/>
          <w:b/>
          <w:bCs/>
          <w:color w:val="1F2933"/>
          <w:sz w:val="30"/>
          <w:szCs w:val="30"/>
        </w:rPr>
        <w:t xml:space="preserve">4.  Scorecard</w:t>
      </w:r>
    </w:p>
    <w:p>
      <w:pPr>
        <w:spacing w:after="120" w:before="0" w:line="276"/>
      </w:pPr>
      <w:r>
        <w:rPr>
          <w:rFonts w:ascii="Calibri" w:cs="Calibri" w:eastAsia="Calibri" w:hAnsi="Calibri"/>
          <w:i/>
          <w:iCs/>
          <w:color w:val="5A6672"/>
          <w:sz w:val="21"/>
          <w:szCs w:val="21"/>
        </w:rPr>
        <w:t xml:space="preserve">UIx scored 1–5 per dimension, with the “peer bar” naming what the strongest comparator does. Scores reflect the architecture as read from source (working tree at v2.6.0); they are relative to the field, not absolute.</w:t>
      </w:r>
    </w:p>
    <w:tbl>
      <w:tblPr>
        <w:tblW w:type="dxa" w:w="9360"/>
        <w:tblBorders>
          <w:top w:val="single" w:color="C9D2DC" w:sz="4"/>
          <w:left w:val="single" w:color="C9D2DC" w:sz="4"/>
          <w:bottom w:val="single" w:color="C9D2DC" w:sz="4"/>
          <w:right w:val="single" w:color="C9D2DC" w:sz="4"/>
          <w:insideH w:val="single" w:color="auto" w:sz="4"/>
          <w:insideV w:val="single" w:color="auto" w:sz="4"/>
        </w:tblBorders>
        <w:tblLayout w:type="fixed"/>
      </w:tblPr>
      <w:tblGrid>
        <w:gridCol w:w="2500"/>
        <w:gridCol w:w="900"/>
        <w:gridCol w:w="5960"/>
      </w:tblGrid>
      <w:tr>
        <w:trPr>
          <w:tblHeader/>
        </w:trPr>
        <w:tc>
          <w:tcPr>
            <w:tcW w:type="dxa" w:w="2500"/>
            <w:shd w:fill="1F2933"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9"/>
                <w:szCs w:val="19"/>
              </w:rPr>
              <w:t xml:space="preserve">Dimension</w:t>
            </w:r>
          </w:p>
        </w:tc>
        <w:tc>
          <w:tcPr>
            <w:tcW w:type="dxa" w:w="900"/>
            <w:shd w:fill="1F2933"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9"/>
                <w:szCs w:val="19"/>
              </w:rPr>
              <w:t xml:space="preserve">Score</w:t>
            </w:r>
          </w:p>
        </w:tc>
        <w:tc>
          <w:tcPr>
            <w:tcW w:type="dxa" w:w="5960"/>
            <w:shd w:fill="1F2933"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9"/>
                <w:szCs w:val="19"/>
              </w:rPr>
              <w:t xml:space="preserve">Assessment &amp; peer bar</w:t>
            </w:r>
          </w:p>
        </w:tc>
      </w:tr>
      <w:tr>
        <w:tc>
          <w:tcPr>
            <w:tcW w:type="dxa" w:w="2500"/>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Token architecture &amp; contract</w:t>
            </w:r>
          </w:p>
        </w:tc>
        <w:tc>
          <w:tcPr>
            <w:tcW w:type="dxa" w:w="900"/>
            <w:shd w:fill="D6EADF"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5/5</w:t>
            </w:r>
          </w:p>
        </w:tc>
        <w:tc>
          <w:tcPr>
            <w:tcW w:type="dxa" w:w="59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DTCG source → Style Dictionary v4 → CSS vars + Tailwind theme + typed TS, guarded by byte-parity and contract-completeness CI gates. Peer bar: Carbon/Atlassian are broader but still on Sass / older tooling; UIx is ahead on token-format correctness.</w:t>
            </w:r>
          </w:p>
        </w:tc>
      </w:tr>
      <w:tr>
        <w:tc>
          <w:tcPr>
            <w:tcW w:type="dxa" w:w="25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Theming &amp; multi-brand</w:t>
            </w:r>
          </w:p>
        </w:tc>
        <w:tc>
          <w:tcPr>
            <w:tcW w:type="dxa" w:w="900"/>
            <w:shd w:fill="E7F0E4"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4/5</w:t>
            </w:r>
          </w:p>
        </w:tc>
        <w:tc>
          <w:tcPr>
            <w:tcW w:type="dxa" w:w="59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Clean write-only brand slots that re-chain accent/link/ring; four products; light/dark from one source. Peer bar: ServiceNow &amp; SLDS offer end-user, drag-and-drop multi-tenant theming — UIx theming is code-level.</w:t>
            </w:r>
          </w:p>
        </w:tc>
      </w:tr>
      <w:tr>
        <w:tc>
          <w:tcPr>
            <w:tcW w:type="dxa" w:w="2500"/>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Styling strategy &amp; runtime perf</w:t>
            </w:r>
          </w:p>
        </w:tc>
        <w:tc>
          <w:tcPr>
            <w:tcW w:type="dxa" w:w="900"/>
            <w:shd w:fill="D6EADF"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5/5</w:t>
            </w:r>
          </w:p>
        </w:tc>
        <w:tc>
          <w:tcPr>
            <w:tcW w:type="dxa" w:w="59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Zero-runtime CSS via cascade layers + CSS-var tokens; RSC-aware per-file “use client” build; charts code-split behind a separate entry. Peer bar: Fluent (Griffel) and Atlassian (Compiled) still carry runtime / near-runtime CSS-in-JS.</w:t>
            </w:r>
          </w:p>
        </w:tc>
      </w:tr>
      <w:tr>
        <w:tc>
          <w:tcPr>
            <w:tcW w:type="dxa" w:w="25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Component breadth</w:t>
            </w:r>
          </w:p>
        </w:tc>
        <w:tc>
          <w:tcPr>
            <w:tcW w:type="dxa" w:w="900"/>
            <w:shd w:fill="FBF0D9"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3/5</w:t>
            </w:r>
          </w:p>
        </w:tc>
        <w:tc>
          <w:tcPr>
            <w:tcW w:type="dxa" w:w="59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45 React / 67 CSS with genuine CRM/ITSM depth (SLA, heartbeat, pipeline, inbox, kanban, audit-log, command palette). Peer bar: Atlassian (~110–120), Fluent (~54 families), and Carbon carry years more edge-case coverage.</w:t>
            </w:r>
          </w:p>
        </w:tc>
      </w:tr>
      <w:tr>
        <w:tc>
          <w:tcPr>
            <w:tcW w:type="dxa" w:w="2500"/>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Framework reach</w:t>
            </w:r>
          </w:p>
        </w:tc>
        <w:tc>
          <w:tcPr>
            <w:tcW w:type="dxa" w:w="900"/>
            <w:shd w:fill="E7F0E4"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4/5</w:t>
            </w:r>
          </w:p>
        </w:tc>
        <w:tc>
          <w:tcPr>
            <w:tcW w:type="dxa" w:w="59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One token source feeds CSS, React, Tailwind, and TS cleanly — tighter than the “React-first + community ports” pattern. Peer bar: majors add first-party web components (Carbon/Fluent) for true framework neutrality; UIx has none yet.</w:t>
            </w:r>
          </w:p>
        </w:tc>
      </w:tr>
      <w:tr>
        <w:tc>
          <w:tcPr>
            <w:tcW w:type="dxa" w:w="25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Accessibility — automated</w:t>
            </w:r>
          </w:p>
        </w:tc>
        <w:tc>
          <w:tcPr>
            <w:tcW w:type="dxa" w:w="900"/>
            <w:shd w:fill="E7F0E4"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4/5</w:t>
            </w:r>
          </w:p>
        </w:tc>
        <w:tc>
          <w:tcPr>
            <w:tcW w:type="dxa" w:w="59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axe-core WCAG 2.1 A/AA gating serious+critical in light &amp; dark; calibrated allowlist now empty (contrast + in-text-link remediated and enforced). Matches what the majors actually run in CI day-to-day.</w:t>
            </w:r>
          </w:p>
        </w:tc>
      </w:tr>
      <w:tr>
        <w:tc>
          <w:tcPr>
            <w:tcW w:type="dxa" w:w="2500"/>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Accessibility — certified/manual</w:t>
            </w:r>
          </w:p>
        </w:tc>
        <w:tc>
          <w:tcPr>
            <w:tcW w:type="dxa" w:w="900"/>
            <w:shd w:fill="F6E1DF"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2/5</w:t>
            </w:r>
          </w:p>
        </w:tc>
        <w:tc>
          <w:tcPr>
            <w:tcW w:type="dxa" w:w="59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No documented manual screen-reader protocol (JAWS/VoiceOver/NVDA) and no VPAT/ACR. Peer bar: SLDS/Carbon/ServiceNow file per-product conformance reports — though even Fluent/Atlassian lack a framework-level VPAT.</w:t>
            </w:r>
          </w:p>
        </w:tc>
      </w:tr>
      <w:tr>
        <w:tc>
          <w:tcPr>
            <w:tcW w:type="dxa" w:w="25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Testing &amp; CI rigor</w:t>
            </w:r>
          </w:p>
        </w:tc>
        <w:tc>
          <w:tcPr>
            <w:tcW w:type="dxa" w:w="900"/>
            <w:shd w:fill="D6EADF"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5/5</w:t>
            </w:r>
          </w:p>
        </w:tc>
        <w:tc>
          <w:tcPr>
            <w:tcW w:type="dxa" w:w="59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Gates on every PR and release: token parity, contract completeness, api-extractor public-API lock, per-consumer smoke build, pinned-container visual regression, and axe a11y. A standout; matches or exceeds several majors like-for-like.</w:t>
            </w:r>
          </w:p>
        </w:tc>
      </w:tr>
      <w:tr>
        <w:tc>
          <w:tcPr>
            <w:tcW w:type="dxa" w:w="2500"/>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Versioning &amp; governance</w:t>
            </w:r>
          </w:p>
        </w:tc>
        <w:tc>
          <w:tcPr>
            <w:tcW w:type="dxa" w:w="900"/>
            <w:shd w:fill="D6EADF"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5/5</w:t>
            </w:r>
          </w:p>
        </w:tc>
        <w:tc>
          <w:tcPr>
            <w:tcW w:type="dxa" w:w="59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Changesets, semver “one-way-door” rules, ADR-gated breaking changes, and a written contract-change process. Exceptional discipline for the team size (which it candidly notes is bus-factor-1).</w:t>
            </w:r>
          </w:p>
        </w:tc>
      </w:tr>
      <w:tr>
        <w:tc>
          <w:tcPr>
            <w:tcW w:type="dxa" w:w="25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Documentation &amp; DX</w:t>
            </w:r>
          </w:p>
        </w:tc>
        <w:tc>
          <w:tcPr>
            <w:tcW w:type="dxa" w:w="900"/>
            <w:shd w:fill="FBF0D9"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3/5</w:t>
            </w:r>
          </w:p>
        </w:tc>
        <w:tc>
          <w:tcPr>
            <w:tcW w:type="dxa" w:w="59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Strong internal docs (design-system policy, ADRs, contract process) and a live styleguide with no-flash theming. Peer bar: carbondesignsystem.com / atlassian.design / fluent2.microsoft.design — public component explorers with usage guidance. UIx has none.</w:t>
            </w:r>
          </w:p>
        </w:tc>
      </w:tr>
      <w:tr>
        <w:tc>
          <w:tcPr>
            <w:tcW w:type="dxa" w:w="2500"/>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Distribution &amp; adoption</w:t>
            </w:r>
          </w:p>
        </w:tc>
        <w:tc>
          <w:tcPr>
            <w:tcW w:type="dxa" w:w="900"/>
            <w:shd w:fill="FBF0D9"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3/5</w:t>
            </w:r>
          </w:p>
        </w:tc>
        <w:tc>
          <w:tcPr>
            <w:tcW w:type="dxa" w:w="5960"/>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Versioned npm + vendor-sync into four internal products; no CDN or registry. Peer bar: shadcn's registry/copy-in momentum and Carbon/Fluent's large external communities. Expected for in-house, but a deliberate bet worth stating.</w:t>
            </w:r>
          </w:p>
        </w:tc>
      </w:tr>
      <w:tr>
        <w:tc>
          <w:tcPr>
            <w:tcW w:type="dxa" w:w="2500"/>
            <w:shd w:fill="EEF2F6" w:color="auto" w:val="clear"/>
            <w:tcMar>
              <w:top w:type="dxa" w:w="60"/>
              <w:left w:type="dxa" w:w="90"/>
              <w:bottom w:type="dxa" w:w="60"/>
              <w:right w:type="dxa" w:w="90"/>
            </w:tcMar>
            <w:vAlign w:val="top"/>
          </w:tcPr>
          <w:p>
            <w:pPr>
              <w:spacing w:after="0" w:line="250"/>
            </w:pPr>
            <w:r>
              <w:rPr>
                <w:rFonts w:ascii="Calibri" w:cs="Calibri" w:eastAsia="Calibri" w:hAnsi="Calibri"/>
                <w:b/>
                <w:bCs/>
                <w:color w:val="1F2933"/>
                <w:sz w:val="19"/>
                <w:szCs w:val="19"/>
              </w:rPr>
              <w:t xml:space="preserve">Measured performance evidence</w:t>
            </w:r>
          </w:p>
        </w:tc>
        <w:tc>
          <w:tcPr>
            <w:tcW w:type="dxa" w:w="900"/>
            <w:shd w:fill="F6E1DF"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F2933"/>
                <w:sz w:val="20"/>
                <w:szCs w:val="20"/>
              </w:rPr>
              <w:t xml:space="preserve">2/5</w:t>
            </w:r>
          </w:p>
        </w:tc>
        <w:tc>
          <w:tcPr>
            <w:tcW w:type="dxa" w:w="5960"/>
            <w:shd w:fill="EEF2F6" w:color="auto" w:val="clear"/>
            <w:tcMar>
              <w:top w:type="dxa" w:w="60"/>
              <w:left w:type="dxa" w:w="90"/>
              <w:bottom w:type="dxa" w:w="60"/>
              <w:right w:type="dxa" w:w="90"/>
            </w:tcMar>
            <w:vAlign w:val="top"/>
          </w:tcPr>
          <w:p>
            <w:pPr>
              <w:spacing w:after="0" w:line="250"/>
            </w:pPr>
            <w:r>
              <w:rPr>
                <w:rFonts w:ascii="Calibri" w:cs="Calibri" w:eastAsia="Calibri" w:hAnsi="Calibri"/>
                <w:color w:val="1F2933"/>
                <w:sz w:val="18"/>
                <w:szCs w:val="18"/>
              </w:rPr>
              <w:t xml:space="preserve">Architecture enables strong performance, but there are no published bundle budgets, size-limit CI, or Core Web Vitals. Claims are architectural, not measured — cheap to close and currently the softest proof point.</w:t>
            </w:r>
          </w:p>
        </w:tc>
      </w:tr>
    </w:tbl>
    <w:p>
      <w:pPr>
        <w:spacing w:after="20" w:before="0" w:line="276"/>
      </w:pPr>
      <w:r>
        <w:rPr>
          <w:rFonts w:ascii="Calibri" w:cs="Calibri" w:eastAsia="Calibri" w:hAnsi="Calibri"/>
          <w:color w:val="1F2933"/>
          <w:sz w:val="6"/>
          <w:szCs w:val="6"/>
        </w:rPr>
        <w:t xml:space="preserve"/>
      </w:r>
    </w:p>
    <w:p>
      <w:pPr>
        <w:spacing w:after="120" w:before="0" w:line="276"/>
      </w:pPr>
      <w:r>
        <w:rPr>
          <w:rFonts w:ascii="Calibri" w:cs="Calibri" w:eastAsia="Calibri" w:hAnsi="Calibri"/>
          <w:i/>
          <w:iCs/>
          <w:color w:val="5A6672"/>
          <w:sz w:val="21"/>
          <w:szCs w:val="21"/>
        </w:rPr>
        <w:t xml:space="preserve">Pattern: UIx is strongest exactly where small teams usually cut corners (contract discipline, CI gates, governance) and weakest exactly where scale is required (breadth, docs surface, certification, community). That is a healthy risk profile — the expensive-to-build core is done; the remaining work is largely writing, measuring, and packaging.</w:t>
      </w:r>
    </w:p>
    <w:p>
      <w:r>
        <w:br w:type="page"/>
      </w:r>
    </w:p>
    <w:p>
      <w:pPr>
        <w:pStyle w:val="Heading1"/>
        <w:spacing w:after="120" w:before="300"/>
      </w:pPr>
      <w:r>
        <w:rPr>
          <w:rFonts w:ascii="Calibri" w:cs="Calibri" w:eastAsia="Calibri" w:hAnsi="Calibri"/>
          <w:b/>
          <w:bCs/>
          <w:color w:val="1F2933"/>
          <w:sz w:val="30"/>
          <w:szCs w:val="30"/>
        </w:rPr>
        <w:t xml:space="preserve">5.  Dimension-by-dimension analysis</w:t>
      </w:r>
    </w:p>
    <w:p>
      <w:pPr>
        <w:pStyle w:val="Heading2"/>
        <w:spacing w:after="90" w:before="240"/>
      </w:pPr>
      <w:r>
        <w:rPr>
          <w:rFonts w:ascii="Calibri" w:cs="Calibri" w:eastAsia="Calibri" w:hAnsi="Calibri"/>
          <w:b/>
          <w:bCs/>
          <w:color w:val="1D5FB4"/>
          <w:sz w:val="25"/>
          <w:szCs w:val="25"/>
        </w:rPr>
        <w:t xml:space="preserve">5.1  Token architecture &amp; the contract</w:t>
      </w:r>
    </w:p>
    <w:p>
      <w:pPr>
        <w:spacing w:after="120" w:before="0" w:line="276"/>
      </w:pPr>
      <w:r>
        <w:rPr>
          <w:rFonts w:ascii="Calibri" w:cs="Calibri" w:eastAsia="Calibri" w:hAnsi="Calibri"/>
          <w:color w:val="1F2933"/>
          <w:sz w:val="21"/>
          <w:szCs w:val="21"/>
        </w:rPr>
        <w:t xml:space="preserve">This is UIx's strongest suit and the reason the whole system hangs together. A single DTCG source is compiled by Style Dictionary v4 into three synchronized outputs — the </w:t>
      </w:r>
      <w:r>
        <w:rPr>
          <w:rFonts w:ascii="Calibri" w:cs="Calibri" w:eastAsia="Calibri" w:hAnsi="Calibri"/>
          <w:b/>
          <w:bCs/>
          <w:color w:val="1F2933"/>
          <w:sz w:val="21"/>
          <w:szCs w:val="21"/>
        </w:rPr>
        <w:t xml:space="preserve">--uix-*</w:t>
      </w:r>
      <w:r>
        <w:rPr>
          <w:rFonts w:ascii="Calibri" w:cs="Calibri" w:eastAsia="Calibri" w:hAnsi="Calibri"/>
          <w:color w:val="1F2933"/>
          <w:sz w:val="21"/>
          <w:szCs w:val="21"/>
        </w:rPr>
        <w:t xml:space="preserve"> CSS-variable contract, a Tailwind theme (v4 </w:t>
      </w:r>
      <w:r>
        <w:rPr>
          <w:rFonts w:ascii="Calibri" w:cs="Calibri" w:eastAsia="Calibri" w:hAnsi="Calibri"/>
          <w:i/>
          <w:iCs/>
          <w:color w:val="1F2933"/>
          <w:sz w:val="21"/>
          <w:szCs w:val="21"/>
        </w:rPr>
        <w:t xml:space="preserve">@theme</w:t>
      </w:r>
      <w:r>
        <w:rPr>
          <w:rFonts w:ascii="Calibri" w:cs="Calibri" w:eastAsia="Calibri" w:hAnsi="Calibri"/>
          <w:color w:val="1F2933"/>
          <w:sz w:val="21"/>
          <w:szCs w:val="21"/>
        </w:rPr>
        <w:t xml:space="preserve"> plus a v3 preset), and typed TS constants. Crucially, the contract is </w:t>
      </w:r>
      <w:r>
        <w:rPr>
          <w:rFonts w:ascii="Calibri" w:cs="Calibri" w:eastAsia="Calibri" w:hAnsi="Calibri"/>
          <w:b/>
          <w:bCs/>
          <w:color w:val="1F2933"/>
          <w:sz w:val="21"/>
          <w:szCs w:val="21"/>
        </w:rPr>
        <w:t xml:space="preserve">enforced, not just documented</w:t>
      </w:r>
      <w:r>
        <w:rPr>
          <w:rFonts w:ascii="Calibri" w:cs="Calibri" w:eastAsia="Calibri" w:hAnsi="Calibri"/>
          <w:color w:val="1F2933"/>
          <w:sz w:val="21"/>
          <w:szCs w:val="21"/>
        </w:rPr>
        <w:t xml:space="preserve">: a parity gate asserts generated token values are byte-faithful to a frozen baseline, and a contract-completeness gate proves every load-bearing token family is present and that component CSS contains no raw hex, px, or z-index outside a reviewed, justified allowlist.</w:t>
      </w:r>
    </w:p>
    <w:p>
      <w:pPr>
        <w:spacing w:after="120" w:before="0" w:line="276"/>
      </w:pPr>
      <w:r>
        <w:rPr>
          <w:rFonts w:ascii="Calibri" w:cs="Calibri" w:eastAsia="Calibri" w:hAnsi="Calibri"/>
          <w:color w:val="1F2933"/>
          <w:sz w:val="21"/>
          <w:szCs w:val="21"/>
        </w:rPr>
        <w:t xml:space="preserve">Against the field this is a genuine lead on token-format correctness. Carbon's DTCG migration is an open, in-progress issue; Atlassian is on Style Dictionary 3.x with unconfirmed DTCG-schema compliance; Fluent's DTCG package is still alpha; SLDS only reaches native CSS variables with SLDS 2. UIx already sits on the pattern the W3C DTCG group's own 2025.10 spec describes — with Style Dictionary named as a reference implementation. The one caveat: “full DTCG 2025.10” is a moving target industry-wide, so the audit's advice is to confirm which spec revision the source targets (see section 7).</w:t>
      </w:r>
    </w:p>
    <w:p>
      <w:pPr>
        <w:pStyle w:val="Heading2"/>
        <w:spacing w:after="90" w:before="240"/>
      </w:pPr>
      <w:r>
        <w:rPr>
          <w:rFonts w:ascii="Calibri" w:cs="Calibri" w:eastAsia="Calibri" w:hAnsi="Calibri"/>
          <w:b/>
          <w:bCs/>
          <w:color w:val="1D5FB4"/>
          <w:sz w:val="25"/>
          <w:szCs w:val="25"/>
        </w:rPr>
        <w:t xml:space="preserve">5.2  Theming &amp; multi-brand</w:t>
      </w:r>
    </w:p>
    <w:p>
      <w:pPr>
        <w:spacing w:after="120" w:before="0" w:line="276"/>
      </w:pPr>
      <w:r>
        <w:rPr>
          <w:rFonts w:ascii="Calibri" w:cs="Calibri" w:eastAsia="Calibri" w:hAnsi="Calibri"/>
          <w:color w:val="1F2933"/>
          <w:sz w:val="21"/>
          <w:szCs w:val="21"/>
        </w:rPr>
        <w:t xml:space="preserve">The brand model is clean and safe: products override only two write-only slots (</w:t>
      </w:r>
      <w:r>
        <w:rPr>
          <w:rFonts w:ascii="Calibri" w:cs="Calibri" w:eastAsia="Calibri" w:hAnsi="Calibri"/>
          <w:i/>
          <w:iCs/>
          <w:color w:val="1F2933"/>
          <w:sz w:val="21"/>
          <w:szCs w:val="21"/>
        </w:rPr>
        <w:t xml:space="preserve">--uix-brand</w:t>
      </w:r>
      <w:r>
        <w:rPr>
          <w:rFonts w:ascii="Calibri" w:cs="Calibri" w:eastAsia="Calibri" w:hAnsi="Calibri"/>
          <w:color w:val="1F2933"/>
          <w:sz w:val="21"/>
          <w:szCs w:val="21"/>
        </w:rPr>
        <w:t xml:space="preserve"> / </w:t>
      </w:r>
      <w:r>
        <w:rPr>
          <w:rFonts w:ascii="Calibri" w:cs="Calibri" w:eastAsia="Calibri" w:hAnsi="Calibri"/>
          <w:i/>
          <w:iCs/>
          <w:color w:val="1F2933"/>
          <w:sz w:val="21"/>
          <w:szCs w:val="21"/>
        </w:rPr>
        <w:t xml:space="preserve">--uix-brand-fg</w:t>
      </w:r>
      <w:r>
        <w:rPr>
          <w:rFonts w:ascii="Calibri" w:cs="Calibri" w:eastAsia="Calibri" w:hAnsi="Calibri"/>
          <w:color w:val="1F2933"/>
          <w:sz w:val="21"/>
          <w:szCs w:val="21"/>
        </w:rPr>
        <w:t xml:space="preserve">), and accent/link/ring/brand-muted re-chain automatically through </w:t>
      </w:r>
      <w:r>
        <w:rPr>
          <w:rFonts w:ascii="Calibri" w:cs="Calibri" w:eastAsia="Calibri" w:hAnsi="Calibri"/>
          <w:i/>
          <w:iCs/>
          <w:color w:val="1F2933"/>
          <w:sz w:val="21"/>
          <w:szCs w:val="21"/>
        </w:rPr>
        <w:t xml:space="preserve">var()</w:t>
      </w:r>
      <w:r>
        <w:rPr>
          <w:rFonts w:ascii="Calibri" w:cs="Calibri" w:eastAsia="Calibri" w:hAnsi="Calibri"/>
          <w:color w:val="1F2933"/>
          <w:sz w:val="21"/>
          <w:szCs w:val="21"/>
        </w:rPr>
        <w:t xml:space="preserve"> fallbacks — enforced so a product cannot silently mint a new brand slot. Four themes ship today (Tensor, POSx, SHOPx, mission-control), with light/dark derived from the same source and a no-flash snippet to apply stored theme before paint.</w:t>
      </w:r>
    </w:p>
    <w:p>
      <w:pPr>
        <w:spacing w:after="120" w:before="0" w:line="276"/>
      </w:pPr>
      <w:r>
        <w:rPr>
          <w:rFonts w:ascii="Calibri" w:cs="Calibri" w:eastAsia="Calibri" w:hAnsi="Calibri"/>
          <w:color w:val="1F2933"/>
          <w:sz w:val="21"/>
          <w:szCs w:val="21"/>
        </w:rPr>
        <w:t xml:space="preserve">Where the majors are ahead is end-user theming at tenant scale: ServiceNow's Theme Builder and Salesforce's org branding let non-engineers rebrand without code. UIx theming is code-level and product-scoped — entirely appropriate for four in-house products, but worth noting if UIx is ever positioned for external or white-label consumers.</w:t>
      </w:r>
    </w:p>
    <w:p>
      <w:pPr>
        <w:pStyle w:val="Heading2"/>
        <w:spacing w:after="90" w:before="240"/>
      </w:pPr>
      <w:r>
        <w:rPr>
          <w:rFonts w:ascii="Calibri" w:cs="Calibri" w:eastAsia="Calibri" w:hAnsi="Calibri"/>
          <w:b/>
          <w:bCs/>
          <w:color w:val="1D5FB4"/>
          <w:sz w:val="25"/>
          <w:szCs w:val="25"/>
        </w:rPr>
        <w:t xml:space="preserve">5.3  Styling strategy &amp; runtime performance</w:t>
      </w:r>
    </w:p>
    <w:p>
      <w:pPr>
        <w:spacing w:after="120" w:before="0" w:line="276"/>
      </w:pPr>
      <w:r>
        <w:rPr>
          <w:rFonts w:ascii="Calibri" w:cs="Calibri" w:eastAsia="Calibri" w:hAnsi="Calibri"/>
          <w:color w:val="1F2933"/>
          <w:sz w:val="21"/>
          <w:szCs w:val="21"/>
        </w:rPr>
        <w:t xml:space="preserve">UIx styles entirely with plain CSS and CSS variables organized into explicit cascade layers (</w:t>
      </w:r>
      <w:r>
        <w:rPr>
          <w:rFonts w:ascii="Calibri" w:cs="Calibri" w:eastAsia="Calibri" w:hAnsi="Calibri"/>
          <w:i/>
          <w:iCs/>
          <w:color w:val="1F2933"/>
          <w:sz w:val="21"/>
          <w:szCs w:val="21"/>
        </w:rPr>
        <w:t xml:space="preserve">uix.base &lt; uix.util &lt; uix.motion &lt; uix.components</w:t>
      </w:r>
      <w:r>
        <w:rPr>
          <w:rFonts w:ascii="Calibri" w:cs="Calibri" w:eastAsia="Calibri" w:hAnsi="Calibri"/>
          <w:color w:val="1F2933"/>
          <w:sz w:val="21"/>
          <w:szCs w:val="21"/>
        </w:rPr>
        <w:t xml:space="preserve">). This has two consequences the field mostly can't match. First, there is </w:t>
      </w:r>
      <w:r>
        <w:rPr>
          <w:rFonts w:ascii="Calibri" w:cs="Calibri" w:eastAsia="Calibri" w:hAnsi="Calibri"/>
          <w:b/>
          <w:bCs/>
          <w:color w:val="1F2933"/>
          <w:sz w:val="21"/>
          <w:szCs w:val="21"/>
        </w:rPr>
        <w:t xml:space="preserve">zero runtime styling cost by construction</w:t>
      </w:r>
      <w:r>
        <w:rPr>
          <w:rFonts w:ascii="Calibri" w:cs="Calibri" w:eastAsia="Calibri" w:hAnsi="Calibri"/>
          <w:color w:val="1F2933"/>
          <w:sz w:val="21"/>
          <w:szCs w:val="21"/>
        </w:rPr>
        <w:t xml:space="preserve"> — no CSS-in-JS engine executes at render time. Fluent's Griffel is explicitly “near-zero-runtime” (runtime by default unless an ahead-of-time step is configured), and Atlassian's Compiled migration off Emotion is incomplete — so UIx has a real, provable edge over four of the five enterprise peers (SLDS, also CSS-only, is the exception). Second, cascade layers give predictable override behavior without specificity wars: a consuming app's Tailwind utilities can be ordered to win without </w:t>
      </w:r>
      <w:r>
        <w:rPr>
          <w:rFonts w:ascii="Calibri" w:cs="Calibri" w:eastAsia="Calibri" w:hAnsi="Calibri"/>
          <w:i/>
          <w:iCs/>
          <w:color w:val="1F2933"/>
          <w:sz w:val="21"/>
          <w:szCs w:val="21"/>
        </w:rPr>
        <w:t xml:space="preserve">!important</w:t>
      </w:r>
      <w:r>
        <w:rPr>
          <w:rFonts w:ascii="Calibri" w:cs="Calibri" w:eastAsia="Calibri" w:hAnsi="Calibri"/>
          <w:color w:val="1F2933"/>
          <w:sz w:val="21"/>
          <w:szCs w:val="21"/>
        </w:rPr>
        <w:t xml:space="preserve">. Radix Themes and Tailwind v4 independently adopted the same approach — this is convergent best practice, not reinvention.</w:t>
      </w:r>
    </w:p>
    <w:p>
      <w:pPr>
        <w:spacing w:after="120" w:before="0" w:line="276"/>
      </w:pPr>
      <w:r>
        <w:rPr>
          <w:rFonts w:ascii="Calibri" w:cs="Calibri" w:eastAsia="Calibri" w:hAnsi="Calibri"/>
          <w:color w:val="1F2933"/>
          <w:sz w:val="21"/>
          <w:szCs w:val="21"/>
        </w:rPr>
        <w:t xml:space="preserve">The React build is unusually careful about modern React. tsup emits ESM </w:t>
      </w:r>
      <w:r>
        <w:rPr>
          <w:rFonts w:ascii="Calibri" w:cs="Calibri" w:eastAsia="Calibri" w:hAnsi="Calibri"/>
          <w:i/>
          <w:iCs/>
          <w:color w:val="1F2933"/>
          <w:sz w:val="21"/>
          <w:szCs w:val="21"/>
        </w:rPr>
        <w:t xml:space="preserve">per file</w:t>
      </w:r>
      <w:r>
        <w:rPr>
          <w:rFonts w:ascii="Calibri" w:cs="Calibri" w:eastAsia="Calibri" w:hAnsi="Calibri"/>
          <w:color w:val="1F2933"/>
          <w:sz w:val="21"/>
          <w:szCs w:val="21"/>
        </w:rPr>
        <w:t xml:space="preserve"> so each module keeps its own </w:t>
      </w:r>
      <w:r>
        <w:rPr>
          <w:rFonts w:ascii="Calibri" w:cs="Calibri" w:eastAsia="Calibri" w:hAnsi="Calibri"/>
          <w:i/>
          <w:iCs/>
          <w:color w:val="1F2933"/>
          <w:sz w:val="21"/>
          <w:szCs w:val="21"/>
        </w:rPr>
        <w:t xml:space="preserve">“use client”</w:t>
      </w:r>
      <w:r>
        <w:rPr>
          <w:rFonts w:ascii="Calibri" w:cs="Calibri" w:eastAsia="Calibri" w:hAnsi="Calibri"/>
          <w:color w:val="1F2933"/>
          <w:sz w:val="21"/>
          <w:szCs w:val="21"/>
        </w:rPr>
        <w:t xml:space="preserve"> directive — pure presentational components stay server-renderable in React Server Component graphs, while only interactive ones are marked client. </w:t>
      </w:r>
      <w:r>
        <w:rPr>
          <w:rFonts w:ascii="Calibri" w:cs="Calibri" w:eastAsia="Calibri" w:hAnsi="Calibri"/>
          <w:i/>
          <w:iCs/>
          <w:color w:val="1F2933"/>
          <w:sz w:val="21"/>
          <w:szCs w:val="21"/>
        </w:rPr>
        <w:t xml:space="preserve">sideEffects: false</w:t>
      </w:r>
      <w:r>
        <w:rPr>
          <w:rFonts w:ascii="Calibri" w:cs="Calibri" w:eastAsia="Calibri" w:hAnsi="Calibri"/>
          <w:color w:val="1F2933"/>
          <w:sz w:val="21"/>
          <w:szCs w:val="21"/>
        </w:rPr>
        <w:t xml:space="preserve"> enables tree-shaking; ECharts is an external dependency behind a separate </w:t>
      </w:r>
      <w:r>
        <w:rPr>
          <w:rFonts w:ascii="Calibri" w:cs="Calibri" w:eastAsia="Calibri" w:hAnsi="Calibri"/>
          <w:i/>
          <w:iCs/>
          <w:color w:val="1F2933"/>
          <w:sz w:val="21"/>
          <w:szCs w:val="21"/>
        </w:rPr>
        <w:t xml:space="preserve">./chart</w:t>
      </w:r>
      <w:r>
        <w:rPr>
          <w:rFonts w:ascii="Calibri" w:cs="Calibri" w:eastAsia="Calibri" w:hAnsi="Calibri"/>
          <w:color w:val="1F2933"/>
          <w:sz w:val="21"/>
          <w:szCs w:val="21"/>
        </w:rPr>
        <w:t xml:space="preserve"> entry, so the charting weight never lands in the main bundle. The table engine is pure, dependency-free functions (sort/filter/search/virtual-window), unit-tested and reusable by any framework. Net: the setup is built to ship little JavaScript and no runtime CSS.</w:t>
      </w:r>
    </w:p>
    <w:p>
      <w:pPr>
        <w:pStyle w:val="Heading2"/>
        <w:spacing w:after="90" w:before="240"/>
      </w:pPr>
      <w:r>
        <w:rPr>
          <w:rFonts w:ascii="Calibri" w:cs="Calibri" w:eastAsia="Calibri" w:hAnsi="Calibri"/>
          <w:b/>
          <w:bCs/>
          <w:color w:val="1D5FB4"/>
          <w:sz w:val="25"/>
          <w:szCs w:val="25"/>
        </w:rPr>
        <w:t xml:space="preserve">5.4  Component breadth &amp; domain coverage</w:t>
      </w:r>
    </w:p>
    <w:p>
      <w:pPr>
        <w:spacing w:after="120" w:before="0" w:line="276"/>
      </w:pPr>
      <w:r>
        <w:rPr>
          <w:rFonts w:ascii="Calibri" w:cs="Calibri" w:eastAsia="Calibri" w:hAnsi="Calibri"/>
          <w:color w:val="1F2933"/>
          <w:sz w:val="21"/>
          <w:szCs w:val="21"/>
        </w:rPr>
        <w:t xml:space="preserve">At 45 React components and 67 CSS files, UIx is mid-sized — but its coverage is unusually well-aimed at CRM/ITSM. Alongside the usual primitives it ships domain pieces most general systems don't: SLA and heartbeat indicators, pipeline and kanban, inbox and command palette, audit-log, notification-center, contact-card, and a deep table system (bulk actions, row actions, inline edit, column resize, multi-sort, responsive card transform). That domain focus is a legitimate advantage over general-purpose libraries.</w:t>
      </w:r>
    </w:p>
    <w:p>
      <w:pPr>
        <w:spacing w:after="120" w:before="0" w:line="276"/>
      </w:pPr>
      <w:r>
        <w:rPr>
          <w:rFonts w:ascii="Calibri" w:cs="Calibri" w:eastAsia="Calibri" w:hAnsi="Calibri"/>
          <w:color w:val="1F2933"/>
          <w:sz w:val="21"/>
          <w:szCs w:val="21"/>
        </w:rPr>
        <w:t xml:space="preserve">The honest gap is absolute breadth and maturity. Atlassian (~110–120 catalog entries), Fluent (~54 component families with ~2,900 icons), and Carbon encode years of accumulated edge cases across form validation, data density, internationalization, and exotic interaction states. UIx should not try to match count-for-count; it should keep filling CRM/ITSM gaps upstream (its single-source policy already routes demand correctly) and treat parity with the majors as neither achievable nor the goal.</w:t>
      </w:r>
    </w:p>
    <w:p>
      <w:pPr>
        <w:pStyle w:val="Heading2"/>
        <w:spacing w:after="90" w:before="240"/>
      </w:pPr>
      <w:r>
        <w:rPr>
          <w:rFonts w:ascii="Calibri" w:cs="Calibri" w:eastAsia="Calibri" w:hAnsi="Calibri"/>
          <w:b/>
          <w:bCs/>
          <w:color w:val="1D5FB4"/>
          <w:sz w:val="25"/>
          <w:szCs w:val="25"/>
        </w:rPr>
        <w:t xml:space="preserve">5.5  Accessibility</w:t>
      </w:r>
    </w:p>
    <w:p>
      <w:pPr>
        <w:spacing w:after="120" w:before="0" w:line="276"/>
      </w:pPr>
      <w:r>
        <w:rPr>
          <w:rFonts w:ascii="Calibri" w:cs="Calibri" w:eastAsia="Calibri" w:hAnsi="Calibri"/>
          <w:color w:val="1F2933"/>
          <w:sz w:val="21"/>
          <w:szCs w:val="21"/>
        </w:rPr>
        <w:t xml:space="preserve">Automated a11y is real and gated. axe-core runs over three example pages in both themes and fails the build on serious/critical WCAG 2.1 A/AA violations; the calibrated exception list is currently empty because the two design-level rules (color-contrast, link-in-text-block) were remediated with new legible text-role tokens and enforced. In tooling terms this matches what the majors actually run in CI (Fluent uses axe-core + jest-axe; SLDS built its own axe wrapper; Carbon uses IBM's checker).</w:t>
      </w:r>
    </w:p>
    <w:p>
      <w:pPr>
        <w:spacing w:after="120" w:before="0" w:line="276"/>
      </w:pPr>
      <w:r>
        <w:rPr>
          <w:rFonts w:ascii="Calibri" w:cs="Calibri" w:eastAsia="Calibri" w:hAnsi="Calibri"/>
          <w:color w:val="1F2933"/>
          <w:sz w:val="21"/>
          <w:szCs w:val="21"/>
        </w:rPr>
        <w:t xml:space="preserve">Two things are missing relative to the enterprise bar: a documented </w:t>
      </w:r>
      <w:r>
        <w:rPr>
          <w:rFonts w:ascii="Calibri" w:cs="Calibri" w:eastAsia="Calibri" w:hAnsi="Calibri"/>
          <w:i/>
          <w:iCs/>
          <w:color w:val="1F2933"/>
          <w:sz w:val="21"/>
          <w:szCs w:val="21"/>
        </w:rPr>
        <w:t xml:space="preserve">manual</w:t>
      </w:r>
      <w:r>
        <w:rPr>
          <w:rFonts w:ascii="Calibri" w:cs="Calibri" w:eastAsia="Calibri" w:hAnsi="Calibri"/>
          <w:color w:val="1F2933"/>
          <w:sz w:val="21"/>
          <w:szCs w:val="21"/>
        </w:rPr>
        <w:t xml:space="preserve"> screen-reader test protocol (Carbon requires JAWS/VoiceOver/NVDA passes for “stable” status), and a formal conformance report (VPAT/ACR). The nuance worth keeping: even Fluent and Atlassian have no framework-level VPAT — conformance is filed per shipped product. So for UIx as a library, the automated gate is competitive; the manual protocol is the more urgent of the two additions, and a VPAT only becomes necessary if UIx is sold or shipped externally.</w:t>
      </w:r>
    </w:p>
    <w:p>
      <w:pPr>
        <w:pStyle w:val="Heading2"/>
        <w:spacing w:after="90" w:before="240"/>
      </w:pPr>
      <w:r>
        <w:rPr>
          <w:rFonts w:ascii="Calibri" w:cs="Calibri" w:eastAsia="Calibri" w:hAnsi="Calibri"/>
          <w:b/>
          <w:bCs/>
          <w:color w:val="1D5FB4"/>
          <w:sz w:val="25"/>
          <w:szCs w:val="25"/>
        </w:rPr>
        <w:t xml:space="preserve">5.6  Testing, CI &amp; governance</w:t>
      </w:r>
    </w:p>
    <w:p>
      <w:pPr>
        <w:spacing w:after="120" w:before="0" w:line="276"/>
      </w:pPr>
      <w:r>
        <w:rPr>
          <w:rFonts w:ascii="Calibri" w:cs="Calibri" w:eastAsia="Calibri" w:hAnsi="Calibri"/>
          <w:color w:val="1F2933"/>
          <w:sz w:val="21"/>
          <w:szCs w:val="21"/>
        </w:rPr>
        <w:t xml:space="preserve">If token architecture is UIx's best design decision, the CI trust-gates are its best engineering decision. Every PR and release must pass: build-all, token parity, contract completeness, api-extractor public-API lock, per-consumer smoke build, pinned-container visual regression (light + dark, deterministic goldens), and the axe a11y gate. Breaking changes are governed by written semver “one-way-door” rules and require an ADR. This is more end-to-end contract enforcement than several of the majors were confirmed to run — Fluent uses Playwright VR (same as UIx) but not Changesets; Atlassian's VR tooling couldn't be confirmed; SLDS's own VR tool was archived in 2025.</w:t>
      </w:r>
    </w:p>
    <w:p>
      <w:pPr>
        <w:spacing w:after="120" w:before="0" w:line="276"/>
      </w:pPr>
      <w:r>
        <w:rPr>
          <w:rFonts w:ascii="Calibri" w:cs="Calibri" w:eastAsia="Calibri" w:hAnsi="Calibri"/>
          <w:color w:val="1F2933"/>
          <w:sz w:val="21"/>
          <w:szCs w:val="21"/>
        </w:rPr>
        <w:t xml:space="preserve">The one structural risk the project names itself: bus-factor-1. The contract-change process is explicitly a written stand-in for a second reviewer. The gates mitigate this well, but it remains the governance item most worth resourcing.</w:t>
      </w:r>
    </w:p>
    <w:p>
      <w:pPr>
        <w:pStyle w:val="Heading2"/>
        <w:spacing w:after="90" w:before="240"/>
      </w:pPr>
      <w:r>
        <w:rPr>
          <w:rFonts w:ascii="Calibri" w:cs="Calibri" w:eastAsia="Calibri" w:hAnsi="Calibri"/>
          <w:b/>
          <w:bCs/>
          <w:color w:val="1D5FB4"/>
          <w:sz w:val="25"/>
          <w:szCs w:val="25"/>
        </w:rPr>
        <w:t xml:space="preserve">5.7  Documentation &amp; developer experience</w:t>
      </w:r>
    </w:p>
    <w:p>
      <w:pPr>
        <w:spacing w:after="120" w:before="0" w:line="276"/>
      </w:pPr>
      <w:r>
        <w:rPr>
          <w:rFonts w:ascii="Calibri" w:cs="Calibri" w:eastAsia="Calibri" w:hAnsi="Calibri"/>
          <w:color w:val="1F2933"/>
          <w:sz w:val="21"/>
          <w:szCs w:val="21"/>
        </w:rPr>
        <w:t xml:space="preserve">Internally, documentation is strong: a single-source design-system policy, ADRs recording decisions, a written contract-change process, and a live, build-free styleguide (component showcase plus tables and dashboard example apps) with correct theming ergonomics. What UIx does not have is the thing every open enterprise system invests most in — a public documentation site with a searchable component explorer, per-component usage guidance, do/don't examples, and accessibility notes. carbondesignsystem.com, atlassian.design, and fluent2.microsoft.design are the bar. This is the clearest, most self-contained gap, and notably it is a writing-and-design cost, not an engineering one.</w:t>
      </w:r>
    </w:p>
    <w:p>
      <w:pPr>
        <w:pStyle w:val="Heading2"/>
        <w:spacing w:after="90" w:before="240"/>
      </w:pPr>
      <w:r>
        <w:rPr>
          <w:rFonts w:ascii="Calibri" w:cs="Calibri" w:eastAsia="Calibri" w:hAnsi="Calibri"/>
          <w:b/>
          <w:bCs/>
          <w:color w:val="1D5FB4"/>
          <w:sz w:val="25"/>
          <w:szCs w:val="25"/>
        </w:rPr>
        <w:t xml:space="preserve">5.8  Distribution &amp; adoption</w:t>
      </w:r>
    </w:p>
    <w:p>
      <w:pPr>
        <w:spacing w:after="120" w:before="0" w:line="276"/>
      </w:pPr>
      <w:r>
        <w:rPr>
          <w:rFonts w:ascii="Calibri" w:cs="Calibri" w:eastAsia="Calibri" w:hAnsi="Calibri"/>
          <w:color w:val="1F2933"/>
          <w:sz w:val="21"/>
          <w:szCs w:val="21"/>
        </w:rPr>
        <w:t xml:space="preserve">UIx distributes as versioned npm packages vendored into four internal products — a conventional, defensible model with clean semver. It runs against one industry current worth a deliberate decision: the fastest-growing distribution pattern (shadcn/ui, ~117k stars, expanding its registry protocol to ship whole design systems as one CLI payload) is copy-in/registry, prized for being always-editable and AI-legible. UIx doesn't need to abandon npm, but for its CSS-only, non-React consumers a registry-style companion could lower adoption friction. Community size versus the majors is not a fair fight and shouldn't be treated as one — two of the five enterprise systems (Atlassian, ServiceNow) aren't open to outside contribution either.</w:t>
      </w:r>
    </w:p>
    <w:p>
      <w:pPr>
        <w:pStyle w:val="Heading1"/>
        <w:spacing w:after="120" w:before="300"/>
      </w:pPr>
      <w:r>
        <w:rPr>
          <w:rFonts w:ascii="Calibri" w:cs="Calibri" w:eastAsia="Calibri" w:hAnsi="Calibri"/>
          <w:b/>
          <w:bCs/>
          <w:color w:val="1F2933"/>
          <w:sz w:val="30"/>
          <w:szCs w:val="30"/>
        </w:rPr>
        <w:t xml:space="preserve">6.  Architectural performance read</w:t>
      </w:r>
    </w:p>
    <w:p>
      <w:pPr>
        <w:spacing w:after="120" w:before="0" w:line="276"/>
      </w:pPr>
      <w:r>
        <w:rPr>
          <w:rFonts w:ascii="Calibri" w:cs="Calibri" w:eastAsia="Calibri" w:hAnsi="Calibri"/>
          <w:color w:val="1F2933"/>
          <w:sz w:val="21"/>
          <w:szCs w:val="21"/>
        </w:rPr>
        <w:t xml:space="preserve">Because the working tree ships </w:t>
      </w:r>
      <w:r>
        <w:rPr>
          <w:rFonts w:ascii="Calibri" w:cs="Calibri" w:eastAsia="Calibri" w:hAnsi="Calibri"/>
          <w:i/>
          <w:iCs/>
          <w:color w:val="1F2933"/>
          <w:sz w:val="21"/>
          <w:szCs w:val="21"/>
        </w:rPr>
        <w:t xml:space="preserve">packages/</w:t>
      </w:r>
      <w:r>
        <w:rPr>
          <w:rFonts w:ascii="Calibri" w:cs="Calibri" w:eastAsia="Calibri" w:hAnsi="Calibri"/>
          <w:color w:val="1F2933"/>
          <w:sz w:val="21"/>
          <w:szCs w:val="21"/>
        </w:rPr>
        <w:t xml:space="preserve"> deleted and the brief specified a code-level read, the following is what the architecture </w:t>
      </w:r>
      <w:r>
        <w:rPr>
          <w:rFonts w:ascii="Calibri" w:cs="Calibri" w:eastAsia="Calibri" w:hAnsi="Calibri"/>
          <w:i/>
          <w:iCs/>
          <w:color w:val="1F2933"/>
          <w:sz w:val="21"/>
          <w:szCs w:val="21"/>
        </w:rPr>
        <w:t xml:space="preserve">enables</w:t>
      </w:r>
      <w:r>
        <w:rPr>
          <w:rFonts w:ascii="Calibri" w:cs="Calibri" w:eastAsia="Calibri" w:hAnsi="Calibri"/>
          <w:color w:val="1F2933"/>
          <w:sz w:val="21"/>
          <w:szCs w:val="21"/>
        </w:rPr>
        <w:t xml:space="preserve"> rather than measured output. Each point is grounded in the source.</w:t>
      </w:r>
    </w:p>
    <w:p>
      <w:pPr>
        <w:pStyle w:val="ListParagraph"/>
        <w:numPr>
          <w:ilvl w:val="0"/>
          <w:numId w:val="2"/>
        </w:numPr>
        <w:spacing w:after="80" w:line="268"/>
      </w:pPr>
      <w:r>
        <w:rPr>
          <w:rFonts w:ascii="Calibri" w:cs="Calibri" w:eastAsia="Calibri" w:hAnsi="Calibri"/>
          <w:b/>
          <w:bCs/>
          <w:color w:val="1F2933"/>
          <w:sz w:val="21"/>
          <w:szCs w:val="21"/>
        </w:rPr>
        <w:t xml:space="preserve">No runtime styling cost. </w:t>
      </w:r>
      <w:r>
        <w:rPr>
          <w:rFonts w:ascii="Calibri" w:cs="Calibri" w:eastAsia="Calibri" w:hAnsi="Calibri"/>
          <w:color w:val="1F2933"/>
          <w:sz w:val="21"/>
          <w:szCs w:val="21"/>
        </w:rPr>
        <w:t xml:space="preserve">Styling is static CSS + CSS variables in cascade layers; nothing generates styles at render time. This is the single biggest structural advantage over Fluent (Griffel) and Atlassian (Compiled/Emotion).</w:t>
      </w:r>
    </w:p>
    <w:p>
      <w:pPr>
        <w:pStyle w:val="ListParagraph"/>
        <w:numPr>
          <w:ilvl w:val="0"/>
          <w:numId w:val="2"/>
        </w:numPr>
        <w:spacing w:after="80" w:line="268"/>
      </w:pPr>
      <w:r>
        <w:rPr>
          <w:rFonts w:ascii="Calibri" w:cs="Calibri" w:eastAsia="Calibri" w:hAnsi="Calibri"/>
          <w:b/>
          <w:bCs/>
          <w:color w:val="1F2933"/>
          <w:sz w:val="21"/>
          <w:szCs w:val="21"/>
        </w:rPr>
        <w:t xml:space="preserve">Tree-shakeable JS. </w:t>
      </w:r>
      <w:r>
        <w:rPr>
          <w:rFonts w:ascii="Calibri" w:cs="Calibri" w:eastAsia="Calibri" w:hAnsi="Calibri"/>
          <w:color w:val="1F2933"/>
          <w:sz w:val="21"/>
          <w:szCs w:val="21"/>
        </w:rPr>
        <w:t xml:space="preserve">sideEffects: false + per-file ESM means consumers pull only the components they import; presentational components carry no “use client” and stay RSC-server-renderable.</w:t>
      </w:r>
    </w:p>
    <w:p>
      <w:pPr>
        <w:pStyle w:val="ListParagraph"/>
        <w:numPr>
          <w:ilvl w:val="0"/>
          <w:numId w:val="2"/>
        </w:numPr>
        <w:spacing w:after="80" w:line="268"/>
      </w:pPr>
      <w:r>
        <w:rPr>
          <w:rFonts w:ascii="Calibri" w:cs="Calibri" w:eastAsia="Calibri" w:hAnsi="Calibri"/>
          <w:b/>
          <w:bCs/>
          <w:color w:val="1F2933"/>
          <w:sz w:val="21"/>
          <w:szCs w:val="21"/>
        </w:rPr>
        <w:t xml:space="preserve">Charts are opt-in. </w:t>
      </w:r>
      <w:r>
        <w:rPr>
          <w:rFonts w:ascii="Calibri" w:cs="Calibri" w:eastAsia="Calibri" w:hAnsi="Calibri"/>
          <w:color w:val="1F2933"/>
          <w:sz w:val="21"/>
          <w:szCs w:val="21"/>
        </w:rPr>
        <w:t xml:space="preserve">ECharts is an external peer behind a separate ./chart entry — the heaviest dependency never enters the default bundle.</w:t>
      </w:r>
    </w:p>
    <w:p>
      <w:pPr>
        <w:pStyle w:val="ListParagraph"/>
        <w:numPr>
          <w:ilvl w:val="0"/>
          <w:numId w:val="2"/>
        </w:numPr>
        <w:spacing w:after="80" w:line="268"/>
      </w:pPr>
      <w:r>
        <w:rPr>
          <w:rFonts w:ascii="Calibri" w:cs="Calibri" w:eastAsia="Calibri" w:hAnsi="Calibri"/>
          <w:b/>
          <w:bCs/>
          <w:color w:val="1F2933"/>
          <w:sz w:val="21"/>
          <w:szCs w:val="21"/>
        </w:rPr>
        <w:t xml:space="preserve">File-level CSS dead-code avoidance without a build. </w:t>
      </w:r>
      <w:r>
        <w:rPr>
          <w:rFonts w:ascii="Calibri" w:cs="Calibri" w:eastAsia="Calibri" w:hAnsi="Calibri"/>
          <w:color w:val="1F2933"/>
          <w:sz w:val="21"/>
          <w:szCs w:val="21"/>
        </w:rPr>
        <w:t xml:space="preserve">Consumers import only the component CSS files they use; no scanner or PostCSS step is required to get meaningful savings (unlike Tailwind, which needs its engine, or Bootstrap/Bulma, which need external purge).</w:t>
      </w:r>
    </w:p>
    <w:p>
      <w:pPr>
        <w:pStyle w:val="ListParagraph"/>
        <w:numPr>
          <w:ilvl w:val="0"/>
          <w:numId w:val="2"/>
        </w:numPr>
        <w:spacing w:after="80" w:line="268"/>
      </w:pPr>
      <w:r>
        <w:rPr>
          <w:rFonts w:ascii="Calibri" w:cs="Calibri" w:eastAsia="Calibri" w:hAnsi="Calibri"/>
          <w:b/>
          <w:bCs/>
          <w:color w:val="1F2933"/>
          <w:sz w:val="21"/>
          <w:szCs w:val="21"/>
        </w:rPr>
        <w:t xml:space="preserve">Predictable overrides. </w:t>
      </w:r>
      <w:r>
        <w:rPr>
          <w:rFonts w:ascii="Calibri" w:cs="Calibri" w:eastAsia="Calibri" w:hAnsi="Calibri"/>
          <w:color w:val="1F2933"/>
          <w:sz w:val="21"/>
          <w:szCs w:val="21"/>
        </w:rPr>
        <w:t xml:space="preserve">Cascade layers make consumer CSS win by default without !important, avoiding the specificity bloat that inflates real-world CSS.</w:t>
      </w:r>
    </w:p>
    <w:p>
      <w:pPr>
        <w:pStyle w:val="ListParagraph"/>
        <w:numPr>
          <w:ilvl w:val="0"/>
          <w:numId w:val="2"/>
        </w:numPr>
        <w:spacing w:after="80" w:line="268"/>
      </w:pPr>
      <w:r>
        <w:rPr>
          <w:rFonts w:ascii="Calibri" w:cs="Calibri" w:eastAsia="Calibri" w:hAnsi="Calibri"/>
          <w:b/>
          <w:bCs/>
          <w:color w:val="1F2933"/>
          <w:sz w:val="21"/>
          <w:szCs w:val="21"/>
        </w:rPr>
        <w:t xml:space="preserve">Motion &amp; theming are cheap. </w:t>
      </w:r>
      <w:r>
        <w:rPr>
          <w:rFonts w:ascii="Calibri" w:cs="Calibri" w:eastAsia="Calibri" w:hAnsi="Calibri"/>
          <w:color w:val="1F2933"/>
          <w:sz w:val="21"/>
          <w:szCs w:val="21"/>
        </w:rPr>
        <w:t xml:space="preserve">A reduced-motion guard short-circuits animation; theming is a CSS-variable swap (data-theme / .dark), not a re-render or re-compile.</w:t>
      </w:r>
    </w:p>
    <w:p>
      <w:pPr>
        <w:spacing w:after="120" w:before="0" w:line="276"/>
      </w:pPr>
      <w:r>
        <w:rPr>
          <w:rFonts w:ascii="Calibri" w:cs="Calibri" w:eastAsia="Calibri" w:hAnsi="Calibri"/>
          <w:b/>
          <w:bCs/>
          <w:color w:val="1F2933"/>
          <w:sz w:val="21"/>
          <w:szCs w:val="21"/>
        </w:rPr>
        <w:t xml:space="preserve">What cannot be claimed without measurement: </w:t>
      </w:r>
      <w:r>
        <w:rPr>
          <w:rFonts w:ascii="Calibri" w:cs="Calibri" w:eastAsia="Calibri" w:hAnsi="Calibri"/>
          <w:color w:val="1F2933"/>
          <w:sz w:val="21"/>
          <w:szCs w:val="21"/>
        </w:rPr>
        <w:t xml:space="preserve">actual gzip sizes per component, first-paint numbers, and interaction latency. The architecture points strongly in the right direction, but until size-limit budgets are published in CI (see section 7), “fast” remains an inference, not a proof.</w:t>
      </w:r>
    </w:p>
    <w:p>
      <w:pPr>
        <w:pStyle w:val="Heading1"/>
        <w:spacing w:after="120" w:before="300"/>
      </w:pPr>
      <w:r>
        <w:rPr>
          <w:rFonts w:ascii="Calibri" w:cs="Calibri" w:eastAsia="Calibri" w:hAnsi="Calibri"/>
          <w:b/>
          <w:bCs/>
          <w:color w:val="1F2933"/>
          <w:sz w:val="30"/>
          <w:szCs w:val="30"/>
        </w:rPr>
        <w:t xml:space="preserve">7.  Prioritized gaps &amp; recommendations</w:t>
      </w:r>
    </w:p>
    <w:p>
      <w:pPr>
        <w:spacing w:after="120" w:before="0" w:line="276"/>
      </w:pPr>
      <w:r>
        <w:rPr>
          <w:rFonts w:ascii="Calibri" w:cs="Calibri" w:eastAsia="Calibri" w:hAnsi="Calibri"/>
          <w:i/>
          <w:iCs/>
          <w:color w:val="5A6672"/>
          <w:sz w:val="21"/>
          <w:szCs w:val="21"/>
        </w:rPr>
        <w:t xml:space="preserve">Ordered by leverage — impact relative to effort. None require re-architecting; they close the surface-and-proof gaps the scorecard surfaced.</w:t>
      </w:r>
    </w:p>
    <w:p>
      <w:pPr>
        <w:pStyle w:val="Heading3"/>
        <w:spacing w:after="70" w:before="170"/>
      </w:pPr>
      <w:r>
        <w:rPr>
          <w:rFonts w:ascii="Calibri" w:cs="Calibri" w:eastAsia="Calibri" w:hAnsi="Calibri"/>
          <w:b/>
          <w:bCs/>
          <w:color w:val="1F2933"/>
          <w:sz w:val="22"/>
          <w:szCs w:val="22"/>
        </w:rPr>
        <w:t xml:space="preserve">Priority 1 — highest leverage</w:t>
      </w:r>
    </w:p>
    <w:p>
      <w:pPr>
        <w:pStyle w:val="ListParagraph"/>
        <w:numPr>
          <w:ilvl w:val="0"/>
          <w:numId w:val="3"/>
        </w:numPr>
        <w:spacing w:after="90" w:line="268"/>
      </w:pPr>
      <w:r>
        <w:rPr>
          <w:rFonts w:ascii="Calibri" w:cs="Calibri" w:eastAsia="Calibri" w:hAnsi="Calibri"/>
          <w:b/>
          <w:bCs/>
          <w:color w:val="1F2933"/>
          <w:sz w:val="21"/>
          <w:szCs w:val="21"/>
        </w:rPr>
        <w:t xml:space="preserve">Publish a documentation site. </w:t>
      </w:r>
      <w:r>
        <w:rPr>
          <w:rFonts w:ascii="Calibri" w:cs="Calibri" w:eastAsia="Calibri" w:hAnsi="Calibri"/>
          <w:color w:val="1F2933"/>
          <w:sz w:val="21"/>
          <w:szCs w:val="21"/>
        </w:rPr>
        <w:t xml:space="preserve">A component explorer with usage guidance, props, do/don't, and a11y notes. Biggest adoption and credibility gap; cost is writing/design, not engineering. The live styleguide is a strong starting substrate.</w:t>
      </w:r>
    </w:p>
    <w:p>
      <w:pPr>
        <w:pStyle w:val="ListParagraph"/>
        <w:numPr>
          <w:ilvl w:val="0"/>
          <w:numId w:val="3"/>
        </w:numPr>
        <w:spacing w:after="90" w:line="268"/>
      </w:pPr>
      <w:r>
        <w:rPr>
          <w:rFonts w:ascii="Calibri" w:cs="Calibri" w:eastAsia="Calibri" w:hAnsi="Calibri"/>
          <w:b/>
          <w:bCs/>
          <w:color w:val="1F2933"/>
          <w:sz w:val="21"/>
          <w:szCs w:val="21"/>
        </w:rPr>
        <w:t xml:space="preserve">Add a manual accessibility protocol. </w:t>
      </w:r>
      <w:r>
        <w:rPr>
          <w:rFonts w:ascii="Calibri" w:cs="Calibri" w:eastAsia="Calibri" w:hAnsi="Calibri"/>
          <w:color w:val="1F2933"/>
          <w:sz w:val="21"/>
          <w:szCs w:val="21"/>
        </w:rPr>
        <w:t xml:space="preserve">A documented JAWS/VoiceOver/NVDA pass gating “stable” component status, layered on the existing axe gate. Closes the clearest a11y gap short of a full VPAT.</w:t>
      </w:r>
    </w:p>
    <w:p>
      <w:pPr>
        <w:pStyle w:val="Heading3"/>
        <w:spacing w:after="70" w:before="170"/>
      </w:pPr>
      <w:r>
        <w:rPr>
          <w:rFonts w:ascii="Calibri" w:cs="Calibri" w:eastAsia="Calibri" w:hAnsi="Calibri"/>
          <w:b/>
          <w:bCs/>
          <w:color w:val="1F2933"/>
          <w:sz w:val="22"/>
          <w:szCs w:val="22"/>
        </w:rPr>
        <w:t xml:space="preserve">Priority 2 — near-term</w:t>
      </w:r>
    </w:p>
    <w:p>
      <w:pPr>
        <w:pStyle w:val="ListParagraph"/>
        <w:numPr>
          <w:ilvl w:val="0"/>
          <w:numId w:val="3"/>
        </w:numPr>
        <w:spacing w:after="90" w:line="268"/>
      </w:pPr>
      <w:r>
        <w:rPr>
          <w:rFonts w:ascii="Calibri" w:cs="Calibri" w:eastAsia="Calibri" w:hAnsi="Calibri"/>
          <w:b/>
          <w:bCs/>
          <w:color w:val="1F2933"/>
          <w:sz w:val="21"/>
          <w:szCs w:val="21"/>
        </w:rPr>
        <w:t xml:space="preserve">Make performance measurable. </w:t>
      </w:r>
      <w:r>
        <w:rPr>
          <w:rFonts w:ascii="Calibri" w:cs="Calibri" w:eastAsia="Calibri" w:hAnsi="Calibri"/>
          <w:color w:val="1F2933"/>
          <w:sz w:val="21"/>
          <w:szCs w:val="21"/>
        </w:rPr>
        <w:t xml:space="preserve">Add size-limit (or equivalent) bundle budgets to CI for the React entry, the chart entry, and per-component CSS. Converts the architectural performance story into published numbers — the softest proof point today.</w:t>
      </w:r>
    </w:p>
    <w:p>
      <w:pPr>
        <w:pStyle w:val="ListParagraph"/>
        <w:numPr>
          <w:ilvl w:val="0"/>
          <w:numId w:val="3"/>
        </w:numPr>
        <w:spacing w:after="90" w:line="268"/>
      </w:pPr>
      <w:r>
        <w:rPr>
          <w:rFonts w:ascii="Calibri" w:cs="Calibri" w:eastAsia="Calibri" w:hAnsi="Calibri"/>
          <w:b/>
          <w:bCs/>
          <w:color w:val="1F2933"/>
          <w:sz w:val="21"/>
          <w:szCs w:val="21"/>
        </w:rPr>
        <w:t xml:space="preserve">Decide the distribution bet explicitly. </w:t>
      </w:r>
      <w:r>
        <w:rPr>
          <w:rFonts w:ascii="Calibri" w:cs="Calibri" w:eastAsia="Calibri" w:hAnsi="Calibri"/>
          <w:color w:val="1F2933"/>
          <w:sz w:val="21"/>
          <w:szCs w:val="21"/>
        </w:rPr>
        <w:t xml:space="preserve">Keep versioned npm for React, but evaluate a shadcn-style registry/copy-in companion for CSS-only and non-React consumers. Write the decision down (an ADR) either way.</w:t>
      </w:r>
    </w:p>
    <w:p>
      <w:pPr>
        <w:pStyle w:val="ListParagraph"/>
        <w:numPr>
          <w:ilvl w:val="0"/>
          <w:numId w:val="3"/>
        </w:numPr>
        <w:spacing w:after="90" w:line="268"/>
      </w:pPr>
      <w:r>
        <w:rPr>
          <w:rFonts w:ascii="Calibri" w:cs="Calibri" w:eastAsia="Calibri" w:hAnsi="Calibri"/>
          <w:b/>
          <w:bCs/>
          <w:color w:val="1F2933"/>
          <w:sz w:val="21"/>
          <w:szCs w:val="21"/>
        </w:rPr>
        <w:t xml:space="preserve">Confirm DTCG spec alignment. </w:t>
      </w:r>
      <w:r>
        <w:rPr>
          <w:rFonts w:ascii="Calibri" w:cs="Calibri" w:eastAsia="Calibri" w:hAnsi="Calibri"/>
          <w:color w:val="1F2933"/>
          <w:sz w:val="21"/>
          <w:szCs w:val="21"/>
        </w:rPr>
        <w:t xml:space="preserve">Verify the token source against DTCG 2025.10 and plan the Style Dictionary v4→v5 path, so the pipeline doesn't drift as the ecosystem standardizes.</w:t>
      </w:r>
    </w:p>
    <w:p>
      <w:pPr>
        <w:pStyle w:val="Heading3"/>
        <w:spacing w:after="70" w:before="170"/>
      </w:pPr>
      <w:r>
        <w:rPr>
          <w:rFonts w:ascii="Calibri" w:cs="Calibri" w:eastAsia="Calibri" w:hAnsi="Calibri"/>
          <w:b/>
          <w:bCs/>
          <w:color w:val="1F2933"/>
          <w:sz w:val="22"/>
          <w:szCs w:val="22"/>
        </w:rPr>
        <w:t xml:space="preserve">Priority 3 — ongoing</w:t>
      </w:r>
    </w:p>
    <w:p>
      <w:pPr>
        <w:pStyle w:val="ListParagraph"/>
        <w:numPr>
          <w:ilvl w:val="0"/>
          <w:numId w:val="3"/>
        </w:numPr>
        <w:spacing w:after="90" w:line="268"/>
      </w:pPr>
      <w:r>
        <w:rPr>
          <w:rFonts w:ascii="Calibri" w:cs="Calibri" w:eastAsia="Calibri" w:hAnsi="Calibri"/>
          <w:b/>
          <w:bCs/>
          <w:color w:val="1F2933"/>
          <w:sz w:val="21"/>
          <w:szCs w:val="21"/>
        </w:rPr>
        <w:t xml:space="preserve">Resource the bus-factor-1 risk. </w:t>
      </w:r>
      <w:r>
        <w:rPr>
          <w:rFonts w:ascii="Calibri" w:cs="Calibri" w:eastAsia="Calibri" w:hAnsi="Calibri"/>
          <w:color w:val="1F2933"/>
          <w:sz w:val="21"/>
          <w:szCs w:val="21"/>
        </w:rPr>
        <w:t xml:space="preserve">A second contract reviewer, or a formalized rotation, to back the (well-designed) written contract-change process.</w:t>
      </w:r>
    </w:p>
    <w:p>
      <w:pPr>
        <w:pStyle w:val="ListParagraph"/>
        <w:numPr>
          <w:ilvl w:val="0"/>
          <w:numId w:val="3"/>
        </w:numPr>
        <w:spacing w:after="90" w:line="268"/>
      </w:pPr>
      <w:r>
        <w:rPr>
          <w:rFonts w:ascii="Calibri" w:cs="Calibri" w:eastAsia="Calibri" w:hAnsi="Calibri"/>
          <w:b/>
          <w:bCs/>
          <w:color w:val="1F2933"/>
          <w:sz w:val="21"/>
          <w:szCs w:val="21"/>
        </w:rPr>
        <w:t xml:space="preserve">Keep filling CRM/ITSM breadth upstream. </w:t>
      </w:r>
      <w:r>
        <w:rPr>
          <w:rFonts w:ascii="Calibri" w:cs="Calibri" w:eastAsia="Calibri" w:hAnsi="Calibri"/>
          <w:color w:val="1F2933"/>
          <w:sz w:val="21"/>
          <w:szCs w:val="21"/>
        </w:rPr>
        <w:t xml:space="preserve">Continue routing product demand into UIx rather than chasing count-parity with Carbon/Atlassian/Fluent. Optionally publish a public roadmap of known gaps.</w:t>
      </w:r>
    </w:p>
    <w:p>
      <w:pPr>
        <w:pStyle w:val="ListParagraph"/>
        <w:numPr>
          <w:ilvl w:val="0"/>
          <w:numId w:val="3"/>
        </w:numPr>
        <w:spacing w:after="90" w:line="268"/>
      </w:pPr>
      <w:r>
        <w:rPr>
          <w:rFonts w:ascii="Calibri" w:cs="Calibri" w:eastAsia="Calibri" w:hAnsi="Calibri"/>
          <w:b/>
          <w:bCs/>
          <w:color w:val="1F2933"/>
          <w:sz w:val="21"/>
          <w:szCs w:val="21"/>
        </w:rPr>
        <w:t xml:space="preserve">Consider first-party web components </w:t>
      </w:r>
      <w:r>
        <w:rPr>
          <w:rFonts w:ascii="Calibri" w:cs="Calibri" w:eastAsia="Calibri" w:hAnsi="Calibri"/>
          <w:color w:val="1F2933"/>
          <w:sz w:val="21"/>
          <w:szCs w:val="21"/>
        </w:rPr>
        <w:t xml:space="preserve">only if a non-React product surface appears — otherwise the framework-agnostic CSS already covers most of that need without the maintenance cost.</w:t>
      </w:r>
    </w:p>
    <w:p>
      <w:pPr>
        <w:pStyle w:val="Heading1"/>
        <w:spacing w:after="120" w:before="300"/>
      </w:pPr>
      <w:r>
        <w:rPr>
          <w:rFonts w:ascii="Calibri" w:cs="Calibri" w:eastAsia="Calibri" w:hAnsi="Calibri"/>
          <w:b/>
          <w:bCs/>
          <w:color w:val="1F2933"/>
          <w:sz w:val="30"/>
          <w:szCs w:val="30"/>
        </w:rPr>
        <w:t xml:space="preserve">8.  Methodology &amp; caveats</w:t>
      </w:r>
    </w:p>
    <w:p>
      <w:pPr>
        <w:spacing w:after="120" w:before="0" w:line="276"/>
      </w:pPr>
      <w:r>
        <w:rPr>
          <w:rFonts w:ascii="Calibri" w:cs="Calibri" w:eastAsia="Calibri" w:hAnsi="Calibri"/>
          <w:color w:val="1F2933"/>
          <w:sz w:val="21"/>
          <w:szCs w:val="21"/>
        </w:rPr>
        <w:t xml:space="preserve">UIx was read directly from source at git HEAD (v2.6.0); note the working tree had </w:t>
      </w:r>
      <w:r>
        <w:rPr>
          <w:rFonts w:ascii="Calibri" w:cs="Calibri" w:eastAsia="Calibri" w:hAnsi="Calibri"/>
          <w:i/>
          <w:iCs/>
          <w:color w:val="1F2933"/>
          <w:sz w:val="21"/>
          <w:szCs w:val="21"/>
        </w:rPr>
        <w:t xml:space="preserve">packages/</w:t>
      </w:r>
      <w:r>
        <w:rPr>
          <w:rFonts w:ascii="Calibri" w:cs="Calibri" w:eastAsia="Calibri" w:hAnsi="Calibri"/>
          <w:color w:val="1F2933"/>
          <w:sz w:val="21"/>
          <w:szCs w:val="21"/>
        </w:rPr>
        <w:t xml:space="preserve"> staged for deletion, so all UIx facts here were read from the committed tree, not the working copy. Comparator facts were gathered from current (2025–2026) official docs, GitHub, and package registries via parallel web research, with uncertain items flagged at source. Component counts across the enterprise systems are approximate — none publishes an official current total — and most third-party bundle figures were treated as directional. Performance is an architectural read, not a measured benchmark, per the agreed scope. Scores are relative to the field and reflect one reviewer's synthesis; they are a conversation starter for the team, not a certification.</w:t>
      </w:r>
    </w:p>
    <w:p>
      <w:pPr>
        <w:pBdr>
          <w:bottom w:val="single" w:color="C9D2DC" w:sz="6" w:space="1"/>
        </w:pBdr>
        <w:spacing w:after="120" w:before="60"/>
      </w:pPr>
      <w:r>
        <w:rPr>
          <w:rFonts w:ascii="Calibri" w:cs="Calibri" w:eastAsia="Calibri" w:hAnsi="Calibri"/>
          <w:color w:val="1F2933"/>
          <w:sz w:val="21"/>
          <w:szCs w:val="21"/>
        </w:rPr>
        <w:t xml:space="preserve"/>
      </w:r>
    </w:p>
    <w:p>
      <w:pPr>
        <w:spacing w:after="120" w:before="0" w:line="276"/>
      </w:pPr>
      <w:r>
        <w:rPr>
          <w:rFonts w:ascii="Calibri" w:cs="Calibri" w:eastAsia="Calibri" w:hAnsi="Calibri"/>
          <w:i/>
          <w:iCs/>
          <w:color w:val="1F2933"/>
          <w:sz w:val="21"/>
          <w:szCs w:val="21"/>
        </w:rPr>
        <w:t xml:space="preserve">Bottom line: UIx v2 is set up better than its size would predict — its token contract, zero-runtime styling, CI trust-gates, and governance are at or above enterprise standard. The work ahead is surface area and proof: a docs site, a manual a11y protocol, published performance budgets, and an explicit distribution decision.</w:t>
      </w:r>
    </w:p>
    <w:sectPr>
      <w:pgSz w:w="12240" w:h="15840" w:orient="portrait"/>
      <w:pgMar w:top="11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abstractNum w:abstractNumId="3" w15:restartNumberingAfterBreak="0">
    <w:multiLevelType w:val="hybridMultilevel"/>
    <w:lvl w:ilvl="0" w15:tentative="1">
      <w:start w:val="1"/>
      <w:numFmt w:val="decimal"/>
      <w:lvlText w:val="%1."/>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UIx v2 — Comparative Architecture Audit</dc:title>
  <dc:creator>UIx Audit</dc:creator>
  <cp:lastModifiedBy>Un-named</cp:lastModifiedBy>
  <cp:revision>1</cp:revision>
  <dcterms:created xsi:type="dcterms:W3CDTF">2026-07-03T10:59:19.044Z</dcterms:created>
  <dcterms:modified xsi:type="dcterms:W3CDTF">2026-07-03T10:59:19.044Z</dcterms:modified>
</cp:coreProperties>
</file>

<file path=docProps/custom.xml><?xml version="1.0" encoding="utf-8"?>
<Properties xmlns="http://schemas.openxmlformats.org/officeDocument/2006/custom-properties" xmlns:vt="http://schemas.openxmlformats.org/officeDocument/2006/docPropsVTypes"/>
</file>