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480" w:after="360"/>
        <w:ind w:firstLine="0"/>
        <w:jc w:val="center"/>
      </w:pPr>
      <w:r>
        <w:rPr>
          <w:rFonts w:ascii="Arial" w:hAnsi="Arial" w:eastAsia="黑体"/>
          <w:b/>
          <w:sz w:val="52"/>
        </w:rPr>
        <w:t>docx-formatter 中文 Word 专业排版技能</w:t>
      </w:r>
    </w:p>
    <w:p>
      <w:r>
        <w:br w:type="page"/>
      </w:r>
    </w:p>
    <w:p>
      <w:pPr>
        <w:ind w:firstLine="0"/>
        <w:jc w:val="center"/>
      </w:pPr>
      <w:r>
        <w:rPr>
          <w:rFonts w:ascii="黑体" w:hAnsi="黑体" w:eastAsia="黑体"/>
          <w:b/>
          <w:color w:val="000000"/>
          <w:sz w:val="32"/>
        </w:rPr>
        <w:t>目  录</w:t>
      </w:r>
    </w:p>
    <w:p>
      <w:pPr>
        <w:ind w:firstLine="0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宋体" w:hAnsi="宋体" w:eastAsia="宋体"/>
          <w:b w:val="0"/>
          <w:sz w:val="24"/>
        </w:rPr>
        <w:t>（请在 Word 中右键此处选择"更新域"以生成目录）</w:t>
      </w:r>
      <w:r>
        <w:fldChar w:fldCharType="end"/>
      </w:r>
    </w:p>
    <w:p>
      <w:r>
        <w:br w:type="page"/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一、项目简介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docx-formatter 生成专业排版的中文 Word 文档，覆盖章节结构、正文、数学公式、表格、流程图、目录、引用上标与文档验证的完整排版链路，输出符合学术与工程规范的 .docx 文件。排版效果可参考仓库中的 README.docx。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技能采用单引擎架构，仅依赖 Python 3.8 以上版本与 python-docx。数学公式由 mathHelpers.py 直接生成 OMML XML，即 Word 原生公式格式，公式在 Word 中可二次编辑，无需 Node.js 或任何外部转换工具。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本文档即由该技能自身排版生成：文中所有公式为 Word 原生可编辑公式，流程图与架构图为表格框图，引用标记为真实上标，可作为排版效果的直接样例。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二、功能矩阵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技能共包含 19 个模块，其中 13 个默认启用，1 个按需生成，5 个为可选模块，仅在明确要求时启用。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功能矩阵总览</w:t>
      </w:r>
    </w:p>
    <w:tbl>
      <w:tblPr>
        <w:tblStyle w:val="TableGrid"/>
        <w:tblW w:type="auto" w:w="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907"/>
        <w:gridCol w:w="5329"/>
      </w:tblGrid>
      <w:tr>
        <w:tc>
          <w:tcPr>
            <w:tcW w:type="dxa" w:w="192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默认状态</w:t>
            </w:r>
          </w:p>
        </w:tc>
        <w:tc>
          <w:tcPr>
            <w:tcW w:type="dxa" w:w="53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标准排版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标题、正文、缩进与行距体系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排版预设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整套切换排版参数，支持中西文字体分离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OMML 数学公式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行内与块级公式，Word 原生可编辑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引用上标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参考文献标记自动渲染为上标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参考文献列表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GB/T 7714-2015 顺序编码制文献表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表格框图流程图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表格与 Unicode 箭头构建流程图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分层架构图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多层架构的表格框图堆叠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图表自动编号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图表标题自动递增编号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代码块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等宽字体与浅灰底纹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数据表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灰色表头与固定列宽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单元格公式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表格单元格内插入行内公式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目录生成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Heading 样式加目录域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轻量文档验证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纯标准库 5 项检查，生成后默认执行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安全解压与重打包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编辑现有文档的安全基础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PDF 渲染验证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LibreOffice 转换后视觉检查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XSD 模式验证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OOXML 标准深度验证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编辑现有文档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解压、编辑与重打包工作流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追踪修订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接受全部追踪修订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批注管理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批注插入与交叉链接维护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三、标准排版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标题使用黑体，正文使用宋体。文档标题一号 26pt 居中加粗，一级标题三号 16pt 左对齐，二级与三级标题小四 12pt。正文小四 12pt 两端对齐，首行缩进 2 字符，全文 1.5 倍行距。纸张为 A4，页边距上下 2.54cm、左右 3.18cm，页脚居中页码为五号 Times New Roman。各级标题颜色显式覆盖为黑色，规避 Word 内置 Heading 样式的默认蓝色。中西文字体分离：正文西文用 Times New Roman 衬线体，标题西文用 Arial 无衬线体，对齐 NJUThesis 的字体族设计。本文档各级标题与正文即为标准排版的实际效果。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标准排版构件函数</w:t>
      </w:r>
    </w:p>
    <w:tbl>
      <w:tblPr>
        <w:tblStyle w:val="TableGrid"/>
        <w:tblW w:type="auto" w:w="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setup_document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创建文档并应用页面设置，自动重置图表计数器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add_title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文档主标题，黑体三号居中加粗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add_h1、add_h2、add_h3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一级、二级、三级标题，使用 Word 内置 Heading 样式，可进入目录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add_body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正文段落，支持加粗标记与引用上标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add_item_para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加粗标签加分点内容的段落，标签整体加粗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四、排版预设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排版参数集中在 build_docx.py 顶部的 PRESETS 字典中，按标题、正文、分点、图注、页面、目录等分组管理，各排版函数统一读取当前激活的预设。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set_preset 整套切换：</w:t>
      </w:r>
      <w:r>
        <w:rPr>
          <w:rFonts w:ascii="Times New Roman" w:hAnsi="Times New Roman" w:eastAsia="宋体"/>
          <w:b w:val="0"/>
          <w:sz w:val="24"/>
        </w:rPr>
        <w:t>须在 setup_document 之前调用，默认预设与标准排版一致，新增预设只需向 PRESETS 追加一份同结构的嵌套字典。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中西文字体分离：</w:t>
      </w:r>
      <w:r>
        <w:rPr>
          <w:rFonts w:ascii="Times New Roman" w:hAnsi="Times New Roman" w:eastAsia="宋体"/>
          <w:b w:val="0"/>
          <w:sz w:val="24"/>
        </w:rPr>
        <w:t>开启后西文使用 Times New Roman，中文保持原有字体不变。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五、OMML 数学公式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公式构建器提供一组组合函数，直接生成 OMML XML 并插入文档，产物为 Word 原生可编辑公式，与手动插入的公式完全一致。下表为全部构建函数：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OMML 公式构建函数</w:t>
      </w:r>
    </w:p>
    <w:tbl>
      <w:tblPr>
        <w:tblStyle w:val="TableGrid"/>
        <w:tblW w:type="auto" w:w="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6350"/>
      </w:tblGrid>
      <w:tr>
        <w:tc>
          <w:tcPr>
            <w:tcW w:type="dxa" w:w="181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63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r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纯数学文本，自动转义 XML 特殊字符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下标，如 a 的下标 k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上标，如 x 的平方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求和符号，下标结构配合 Unicode ∑，规避空上标渲染异常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func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函数名加参数，如 cos 与 exp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paren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圆括号结构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bracket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方括号结构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块级公式，居中独立成行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inlineMath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行内公式，与正文混排</w:t>
            </w:r>
          </w:p>
        </w:tc>
      </w:tr>
    </w:tbl>
    <w:p>
      <w:pPr>
        <w:pStyle w:val="Heading2"/>
        <w:spacing w:line="360" w:lineRule="auto" w:before="240" w:after="120"/>
        <w:ind w:firstLine="0"/>
        <w:jc w:val="left"/>
      </w:pPr>
      <w:r>
        <w:rPr>
          <w:rFonts w:ascii="Arial" w:hAnsi="Arial" w:eastAsia="黑体"/>
          <w:b/>
          <w:color w:val="000000"/>
          <w:sz w:val="24"/>
        </w:rPr>
        <w:t>5.1 块级公式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块级公式居中独立成行。以傅里叶级数为例，下方公式即为 Word 原生可编辑公式：</w:t>
      </w:r>
    </w:p>
    <w:p>
      <w:pPr>
        <w:spacing w:line="360" w:lineRule="auto" w:before="120" w:after="120"/>
        <w:ind w:firstLine="0"/>
        <w:jc w:val="center"/>
      </w:pPr>
      <m:oMath>
        <m:r>
          <m:t>f(t) = </m:t>
        </m:r>
        <m:f>
          <m:num>
            <m:sSub>
              <m:sSubPr/>
              <m:e>
                <m:r>
                  <m:t>a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</m:den>
        </m:f>
        <m:r>
          <m:t> + </m:t>
        </m:r>
        <m:sSub>
          <m:sSubPr/>
          <m:e>
            <m:r>
              <m:t>∑</m:t>
            </m:r>
          </m:e>
          <m:sub>
            <m:r>
              <m:t>k</m:t>
            </m:r>
          </m:sub>
        </m:sSub>
        <m:sSub>
          <m:sSubPr/>
          <m:e>
            <m:r>
              <m:t>a</m:t>
            </m:r>
          </m:e>
          <m:sub>
            <m:r>
              <m:t>k</m:t>
            </m:r>
          </m:sub>
        </m:sSub>
        <m:func>
          <m:funcPr/>
          <m:fName>
            <m:r>
              <m:t>cos</m:t>
            </m:r>
          </m:fName>
          <m:e>
            <m:d>
              <m:dPr/>
              <m:e>
                <m:r>
                  <m:t>k</m:t>
                </m:r>
                <m:r>
                  <m:t>ωt</m:t>
                </m:r>
              </m:e>
            </m:d>
          </m:e>
        </m:func>
      </m:oMath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傅里叶级数展开的块级公式</w:t>
      </w:r>
    </w:p>
    <w:p>
      <w:pPr>
        <w:pStyle w:val="Heading2"/>
        <w:spacing w:line="360" w:lineRule="auto" w:before="240" w:after="120"/>
        <w:ind w:firstLine="0"/>
        <w:jc w:val="left"/>
      </w:pPr>
      <w:r>
        <w:rPr>
          <w:rFonts w:ascii="Arial" w:hAnsi="Arial" w:eastAsia="黑体"/>
          <w:b/>
          <w:color w:val="000000"/>
          <w:sz w:val="24"/>
        </w:rPr>
        <w:t>5.2 行内公式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行内公式与正文混排，如下段中的傅里叶系数：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其中，</w:t>
      </w:r>
      <m:oMath>
        <m:sSub>
          <m:sSubPr/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为傅里叶系数，其数值由欧拉公式确定，收敛速度与信号的光滑性相关。</w:t>
      </w:r>
    </w:p>
    <w:p>
      <w:pPr>
        <w:pStyle w:val="Heading2"/>
        <w:spacing w:line="360" w:lineRule="auto" w:before="240" w:after="120"/>
        <w:ind w:firstLine="0"/>
        <w:jc w:val="left"/>
      </w:pPr>
      <w:r>
        <w:rPr>
          <w:rFonts w:ascii="Arial" w:hAnsi="Arial" w:eastAsia="黑体"/>
          <w:b/>
          <w:color w:val="000000"/>
          <w:sz w:val="24"/>
        </w:rPr>
        <w:t>5.3 复杂嵌套结构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对于分式套分式、双重求和、函数嵌套的复杂结构，构建函数可任意组合。下方为似然比检测损失的完整形态，包含分式嵌套、exp 与 log 嵌套、集合记号与权重系数：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n∈N</m:t>
            </m:r>
          </m:sub>
        </m:sSub>
        <m:r>
          <m:t>[</m:t>
        </m:r>
        <m:f>
          <m:num>
            <m:r>
              <m:t>1</m:t>
            </m:r>
          </m:num>
          <m:den>
            <m:r>
              <m:t>|K(n)|</m:t>
            </m:r>
          </m:den>
        </m:f>
        <m:r>
          <m:t> </m:t>
        </m:r>
        <m:sSub>
          <m:sSubPr/>
          <m:e>
            <m:r>
              <m:t>∑</m:t>
            </m:r>
          </m:e>
          <m:sub>
            <m:r>
              <m:t>k∈K(n)</m:t>
            </m:r>
          </m:sub>
        </m:sSub>
        <m:func>
          <m:funcPr/>
          <m:fName>
            <m:r>
              <m:t>log</m:t>
            </m:r>
          </m:fName>
          <m:e>
            <m:d>
              <m:dPr/>
              <m:e>
                <m:f>
                  <m:num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num>
                  <m:den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  <m:r>
                      <m:t> + </m:t>
                    </m:r>
                    <m:sSub>
                      <m:sSubPr/>
                      <m:e>
                        <m:r>
                          <m:t>∑</m:t>
                        </m:r>
                      </m:e>
                      <m:sub>
                        <m:r>
                          <m:t>m∉K(n)</m:t>
                        </m:r>
                      </m:sub>
                    </m:sSub>
                    <m:sSub>
                      <m:sSubPr/>
                      <m:e>
                        <m:r>
                          <m:t>w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 · </m:t>
                    </m:r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den>
                </m:f>
              </m:e>
            </m:d>
          </m:e>
        </m:func>
        <m:r>
          <m:t>]</m:t>
        </m:r>
      </m:oMath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似然比检测损失的嵌套公式</w:t>
      </w:r>
    </w:p>
    <w:p>
      <w:pPr>
        <w:pStyle w:val="Heading2"/>
        <w:spacing w:line="360" w:lineRule="auto" w:before="240" w:after="120"/>
        <w:ind w:firstLine="0"/>
        <w:jc w:val="left"/>
      </w:pPr>
      <w:r>
        <w:rPr>
          <w:rFonts w:ascii="Arial" w:hAnsi="Arial" w:eastAsia="黑体"/>
          <w:b/>
          <w:color w:val="000000"/>
          <w:sz w:val="24"/>
        </w:rPr>
        <w:t>5.4 希腊字母与数学符号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formulas.py 内置若干常用公式模板，可直接插入文档，也可作为自定义公式的参考模式。希腊字母与数学符号以 Unicode 直接书写，如 λ、τ、α、β、∑、×、·、∈。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求和符号必须使用 sumOp 构建。求和若采用 n 元运算符加空上标的写法，Word 会渲染一个不可见的上标占位框，导致文件看起来损坏；sumOp 改用下标结构配合 Unicode ∑ 实现，彻底规避该问题。所有接收子元素的函数内部自动展平嵌套列表，防止 XML 拼接错误。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六、引用上标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正文中的参考文献标记自动渲染为上标，适用于 add_body 与 add_item_para，支持三种格式：</w:t>
      </w:r>
    </w:p>
    <w:tbl>
      <w:tblPr>
        <w:tblStyle w:val="TableGrid"/>
        <w:tblW w:type="auto" w:w="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84"/>
        <w:gridCol w:w="3685"/>
      </w:tblGrid>
      <w:tr>
        <w:tc>
          <w:tcPr>
            <w:tcW w:type="dxa" w:w="198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格式</w:t>
            </w:r>
          </w:p>
        </w:tc>
        <w:tc>
          <w:tcPr>
            <w:tcW w:type="dxa" w:w="368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示例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多个引用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[1,2] 或 [1, 2]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范围引用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[1-3]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本段即为实际渲染效果：傅里叶分析方法在信号处理任务中表现出色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，后续研究</w:t>
      </w:r>
      <w:r>
        <w:rPr>
          <w:rFonts w:ascii="Times New Roman" w:hAnsi="Times New Roman" w:eastAsia="宋体"/>
          <w:b w:val="0"/>
          <w:sz w:val="24"/>
          <w:vertAlign w:val="superscript"/>
        </w:rPr>
        <w:t>[2,3]</w:t>
      </w:r>
      <w:r>
        <w:rPr>
          <w:rFonts w:ascii="Times New Roman" w:hAnsi="Times New Roman" w:eastAsia="宋体"/>
          <w:b w:val="0"/>
          <w:sz w:val="24"/>
        </w:rPr>
        <w:t>进一步验证了这一结论，系统综述见</w:t>
      </w:r>
      <w:r>
        <w:rPr>
          <w:rFonts w:ascii="Times New Roman" w:hAnsi="Times New Roman" w:eastAsia="宋体"/>
          <w:b w:val="0"/>
          <w:sz w:val="24"/>
          <w:vertAlign w:val="superscript"/>
        </w:rPr>
        <w:t>[1-3]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七、参考文献列表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add_bibliography 生成 GB/T 7714-2015 顺序编码制参考文献表，格式对齐 NJUThesis LaTeX 模板，与正文引用上标配套使用：正文中的 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 xml:space="preserve"> 指向条目列表第一项，以此类推。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章节标题为黑体三号加粗居中，使用 Heading 1 样式，进入目录；条目为宋体五号，两端对齐，1.5 倍行距，悬挂缩进 2 字符，折行后与序号后文字对齐；序号 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  <w:vertAlign w:val="superscript"/>
        </w:rPr>
        <w:t>[2]</w:t>
      </w:r>
      <w:r>
        <w:rPr>
          <w:rFonts w:ascii="Times New Roman" w:hAnsi="Times New Roman" w:eastAsia="宋体"/>
          <w:b w:val="0"/>
          <w:sz w:val="24"/>
        </w:rPr>
        <w:t xml:space="preserve"> 按传入顺序自动生成，无需手写。下方即本文档的参考文献表实际渲染效果：</w:t>
      </w:r>
    </w:p>
    <w:p>
      <w:pPr>
        <w:pStyle w:val="Heading1"/>
        <w:spacing w:line="360" w:lineRule="auto" w:before="480" w:after="120"/>
        <w:ind w:firstLine="0"/>
        <w:jc w:val="center"/>
      </w:pPr>
      <w:r>
        <w:rPr>
          <w:rFonts w:ascii="Arial" w:hAnsi="Arial" w:eastAsia="黑体"/>
          <w:b/>
          <w:color w:val="000000"/>
          <w:sz w:val="32"/>
        </w:rPr>
        <w:t>参考文献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[1] 程佩青. 数字信号处理教程[M]. 4版. 北京: 清华大学出版社, 2015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[2] 陈大明, 刘思远. 基于加窗傅里叶变换的谐波检测方法[J]. 信号处理学报, 2023, 41(2): 115-128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[3] Oppenheim A V, Willsky A S, Nawab S H. Signals and Systems[M]. 2nd ed. Upper Saddle River: Prentice Hall, 1997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[4] 周文静. 短时傅里叶变换在振动信号分析中的应用[D]. 南京: 东南大学, 2021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[5] Zhang W, Liu H. Window function selection for spectral leakage suppression[C]//Proceedings of the International Conference on Signal Processing. Beijing: IEEE, 2021: 45-52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[6] 全国信息与文献标准化技术委员会. 信息与文献 参考文献著录规则: GB/T 7714-2015[S]. 北京: 中国标准出版社, 2015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条目按文献类型组织，传入时不带序号：期刊以 [J] 标注，图书 [M]，会议论文 [C]，学位论文 [D]，标准 [S]，电子资源 [EB/OL] 并附更新日期与访问路径。多作者用逗号分隔，三位以上作者取前三名加“等”或"et al"。章节标题默认为“参考文献”，可通过 title 参数自定义。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八、表格框图流程图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流程图由 Word 表格与 Unicode 箭头构成，不使用图片，不使用 emoji，产物在任何 Word 版本中均可编辑。以信号处理流程为例，下方流程图即为表格框图的真实渲染结果：</w:t>
      </w:r>
    </w:p>
    <w:tbl>
      <w:tblPr>
        <w:tblStyle w:val="TableGrid"/>
        <w:tblW w:type="auto" w:w="0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① 时域采样</w:t>
            </w:r>
          </w:p>
        </w:tc>
        <w:tc>
          <w:tcPr>
            <w:tcW w:type="dxa" w:w="1134"/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离散信号 x(n)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auto" w:w="0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② 加窗处理</w:t>
            </w:r>
          </w:p>
        </w:tc>
        <w:tc>
          <w:tcPr>
            <w:tcW w:type="dxa" w:w="1134"/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加窗信号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auto" w:w="0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③ 离散傅里叶变换</w:t>
            </w:r>
          </w:p>
        </w:tc>
        <w:tc>
          <w:tcPr>
            <w:tcW w:type="dxa" w:w="1134"/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频谱 X(k)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auto" w:w="0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④ 频谱分析</w:t>
            </w:r>
          </w:p>
        </w:tc>
        <w:tc>
          <w:tcPr>
            <w:tcW w:type="dxa" w:w="1134"/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特征向量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p>
      <w:pPr>
        <w:spacing w:before="160" w:after="160"/>
        <w:ind w:firstLine="0"/>
        <w:jc w:val="center"/>
      </w:pPr>
      <w:r>
        <w:rPr>
          <w:rFonts w:ascii="宋体" w:hAnsi="宋体" w:eastAsia="宋体"/>
          <w:b w:val="0"/>
          <w:sz w:val="21"/>
        </w:rPr>
        <w:t>----- 信号预处理止于此处，后续由分类器承接 -----</w:t>
      </w:r>
    </w:p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34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分类决策：特征归一化 / 模式匹配 / 结果输出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信号处理与分类流程图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横向箭头行是本技能的特色构件。采用 3 列表格实现，左右等宽并锁定固定布局，箭头恒位于整表几何中心，与两侧文字长短无关；中间竖线融合后左右单元格视觉连通。左右地位相等时不加底纹，层级不同时可传 left_shade 参数生成左灰右白效果，用于表达预处理阶段向决策阶段一类的层级转换。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流程图构件函数</w:t>
      </w:r>
    </w:p>
    <w:tbl>
      <w:tblPr>
        <w:tblStyle w:val="TableGrid"/>
        <w:tblW w:type="auto" w:w="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单个居中框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add_multi_line_box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多行文字框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add_multi_col_table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并排框行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add_arrow_down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居中向下箭头，连接上下框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add_arrow_row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横向箭头行，表达过程到产出的转换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add_separator_note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居中虚线分隔注释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九、分层架构图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add_layered_architecture 以表格框图堆叠表达多层架构，全宽层与并列层可混合使用，层间自动插入间隔段落。全宽层与并列层的每个框首行均为加粗名称，col_widths 控制并列框列宽，不传则按默认总宽 14cm 均分。以信号处理系统为例：</w:t>
      </w:r>
    </w:p>
    <w:tbl>
      <w:tblPr>
        <w:tblStyle w:val="TableGrid"/>
        <w:tblW w:type="auto" w:w="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8634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采集层：传感器阵列 / 信号调理 / 抗混叠滤波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auto" w:w="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8634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预处理层：去直流 / 滤波 / 加窗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auto" w:w="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2835"/>
        <w:gridCol w:w="2835"/>
      </w:tblGrid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变换模块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快速傅里叶变换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分析模块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频带能量 / 谱质心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决策模块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模式匹配 / 阈值判断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auto" w:w="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8634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应用层：频谱显示 / 报告输出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信号处理系统分层架构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十、图表自动编号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图标题与表标题由内部计数器自动编号，无需手动填写编号。图标题位于图下方，表标题位于表上方，两类编号相互独立。setup_document 自动调用 reset_counters，每次生成文档均从图1与表1开始。add_fig_caption 传入空字符串时生成纯间距段落且不递增编号。add_note 在图下方添加居中斜体图注。本文档中的图与表编号均为自动生成。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十一、代码块与数据表</w:t>
      </w:r>
    </w:p>
    <w:p>
      <w:pPr>
        <w:pStyle w:val="Heading2"/>
        <w:spacing w:line="360" w:lineRule="auto" w:before="240" w:after="120"/>
        <w:ind w:firstLine="0"/>
        <w:jc w:val="left"/>
      </w:pPr>
      <w:r>
        <w:rPr>
          <w:rFonts w:ascii="Arial" w:hAnsi="Arial" w:eastAsia="黑体"/>
          <w:b/>
          <w:color w:val="000000"/>
          <w:sz w:val="24"/>
        </w:rPr>
        <w:t>11.1 代码块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add_code_block 以 Consolas 等宽字体渲染代码内容，默认 9pt，浅灰底纹，无首行缩进，逐行成段：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validate_docx.py output.docx --verbose</w:t>
      </w:r>
    </w:p>
    <w:p>
      <w:pPr>
        <w:pStyle w:val="Heading2"/>
        <w:spacing w:line="360" w:lineRule="auto" w:before="240" w:after="120"/>
        <w:ind w:firstLine="0"/>
        <w:jc w:val="left"/>
      </w:pPr>
      <w:r>
        <w:rPr>
          <w:rFonts w:ascii="Arial" w:hAnsi="Arial" w:eastAsia="黑体"/>
          <w:b/>
          <w:color w:val="000000"/>
          <w:sz w:val="24"/>
        </w:rPr>
        <w:t>11.2 数据表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add_data_table 生成数据型表格，灰色表头黑体加粗居中，固定列宽，数据行末列左对齐、其余列居中。本文档中各表均为实际渲染效果。</w:t>
      </w:r>
    </w:p>
    <w:p>
      <w:pPr>
        <w:pStyle w:val="Heading2"/>
        <w:spacing w:line="360" w:lineRule="auto" w:before="240" w:after="120"/>
        <w:ind w:firstLine="0"/>
        <w:jc w:val="left"/>
      </w:pPr>
      <w:r>
        <w:rPr>
          <w:rFonts w:ascii="Arial" w:hAnsi="Arial" w:eastAsia="黑体"/>
          <w:b/>
          <w:color w:val="000000"/>
          <w:sz w:val="24"/>
        </w:rPr>
        <w:t>11.3 单元格公式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add_math_to_cell 向表格单元格插入行内 OMML 公式，适用于函数调用与渲染效果对照一类的场景，下表第三列为单元格内原生公式：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公式构建函数与渲染效果对照</w:t>
      </w:r>
    </w:p>
    <w:tbl>
      <w:tblPr>
        <w:tblStyle w:val="TableGrid"/>
        <w:tblW w:type="auto" w:w="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2835"/>
        <w:gridCol w:w="3855"/>
      </w:tblGrid>
      <w:tr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283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调用形式</w:t>
            </w:r>
          </w:p>
        </w:tc>
        <w:tc>
          <w:tcPr>
            <w:tcW w:type="dxa" w:w="385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渲染效果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下标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 a k</w:t>
            </w:r>
          </w:p>
        </w:tc>
        <w:tc>
          <w:tcPr>
            <w:tcW w:type="dxa" w:w="385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上标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 x 2</w:t>
            </w:r>
          </w:p>
        </w:tc>
        <w:tc>
          <w:tcPr>
            <w:tcW w:type="dxa" w:w="385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 η N</w:t>
            </w:r>
          </w:p>
        </w:tc>
        <w:tc>
          <w:tcPr>
            <w:tcW w:type="dxa" w:w="385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f>
                <m:num>
                  <m:r>
                    <m:t>η</m:t>
                  </m:r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求和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 Σ</w:t>
            </w:r>
          </w:p>
        </w:tc>
        <w:tc>
          <w:tcPr>
            <w:tcW w:type="dxa" w:w="385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∑</m:t>
                  </m:r>
                </m:e>
                <m:sub>
                  <m:r>
                    <m:t>k</m:t>
                  </m:r>
                </m:sub>
              </m:sSub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辅助函数 set_table_border 与 set_cell_shading 分别控制表格边框与单元格底纹。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十二、目录生成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目录按需生成，默认不插入。标题函数使用 Word 内置 Heading 样式，add_toc 在文档标题后、正文前插入目录域，在 Word 中按住 Ctrl 并点击条目可跳转至对应标题。Word 打开文档时提示更新域，选择"是"即生成目录条目。目录标题黑体三号居中，一级条目黑体四号，二级条目宋体小四，行距固定 22pt，样式对齐 NJUThesis 模板。默认层级为 1 到 2 级，文档主标题不进入目录。目录条目默认在 Word 打开文档时提示更新域并生成，由文档设置中的 w:updateFields 开关实现；传入 auto_update=False 可关闭该行为，改为在目录上右键选择更新域手动生成。目录后自动分页。本文档开头的目录即为实际效果。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十三、轻量文档验证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validate_docx.py 基于纯 Python 标准库实现，无外部依赖，在文档生成后执行 5 项结构检查，全部检查通过时退出码为 0，否则为 1：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轻量验证检查项</w:t>
      </w:r>
    </w:p>
    <w:tbl>
      <w:tblPr>
        <w:tblStyle w:val="TableGrid"/>
        <w:tblW w:type="auto" w:w="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6123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检查项</w:t>
            </w:r>
          </w:p>
        </w:tc>
        <w:tc>
          <w:tcPr>
            <w:tcW w:type="dxa" w:w="612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ZIP 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ZIP 条目均可解压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XML 格式良好性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XML 与关系文件可被解析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文件引用完整性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关系文件中每个目标在包内存在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内容类型声明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包内 XML 文件均有内容类型声明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空白保留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含首尾空白的文本节点均带保留属性</w:t>
            </w:r>
          </w:p>
        </w:tc>
      </w:tr>
    </w:tbl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validate_docx.py output.docx --verbose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十四、安全解压与重打包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safe_extract 在解压 .docx 时拒绝符号链接并校验路径边界，防止路径遍历攻击；rezip 将目录重新打包为 .docx，确保 [Content_Types].xml 首位存储并原子写入目标文件。二者构成编辑现有文档的安全基础。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十五、可选模块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以下模块默认不启用、不检查环境、不安装依赖，仅当明确要求对应功能时使用。</w:t>
      </w:r>
    </w:p>
    <w:p>
      <w:pPr>
        <w:pStyle w:val="Heading2"/>
        <w:spacing w:line="360" w:lineRule="auto" w:before="240" w:after="120"/>
        <w:ind w:firstLine="0"/>
        <w:jc w:val="left"/>
      </w:pPr>
      <w:r>
        <w:rPr>
          <w:rFonts w:ascii="Arial" w:hAnsi="Arial" w:eastAsia="黑体"/>
          <w:b/>
          <w:color w:val="000000"/>
          <w:sz w:val="24"/>
        </w:rPr>
        <w:t>15.1 PDF 渲染验证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将生成的 .docx 转换为 PDF 进行视觉检查，依赖 LibreOffice：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scripts/optional/office/soffice.py convert output.docx --outdir ./pdf_out</w:t>
      </w:r>
    </w:p>
    <w:p>
      <w:pPr>
        <w:pStyle w:val="Heading2"/>
        <w:spacing w:line="360" w:lineRule="auto" w:before="240" w:after="120"/>
        <w:ind w:firstLine="0"/>
        <w:jc w:val="left"/>
      </w:pPr>
      <w:r>
        <w:rPr>
          <w:rFonts w:ascii="Arial" w:hAnsi="Arial" w:eastAsia="黑体"/>
          <w:b/>
          <w:color w:val="000000"/>
          <w:sz w:val="24"/>
        </w:rPr>
        <w:t>15.2 XSD 模式验证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 .docx 内的 XML 部件执行 OOXML 模式深度验证，比轻量验证更严格，依赖 lxml：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scripts/optional/office/validate.py output.docx</w:t>
      </w:r>
    </w:p>
    <w:p>
      <w:pPr>
        <w:pStyle w:val="Heading2"/>
        <w:spacing w:line="360" w:lineRule="auto" w:before="240" w:after="120"/>
        <w:ind w:firstLine="0"/>
        <w:jc w:val="left"/>
      </w:pPr>
      <w:r>
        <w:rPr>
          <w:rFonts w:ascii="Arial" w:hAnsi="Arial" w:eastAsia="黑体"/>
          <w:b/>
          <w:color w:val="000000"/>
          <w:sz w:val="24"/>
        </w:rPr>
        <w:t>15.3 编辑现有文档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修改已有 .docx 文件内容，工作流为安全解压、合并碎片 run、编辑 XML、重新打包、验证。</w:t>
      </w:r>
    </w:p>
    <w:p>
      <w:pPr>
        <w:pStyle w:val="Heading2"/>
        <w:spacing w:line="360" w:lineRule="auto" w:before="240" w:after="120"/>
        <w:ind w:firstLine="0"/>
        <w:jc w:val="left"/>
      </w:pPr>
      <w:r>
        <w:rPr>
          <w:rFonts w:ascii="Arial" w:hAnsi="Arial" w:eastAsia="黑体"/>
          <w:b/>
          <w:color w:val="000000"/>
          <w:sz w:val="24"/>
        </w:rPr>
        <w:t>15.4 追踪修订与批注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accept_changes.py 通过 LibreOffice 宏接受文档中的所有追踪修订；comment.py 管理批注，维护 6 个批注相关文件的交叉链接系统，批注 XML 模板位于 scripts/optional/templates。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十六、排版标准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页面为 A4 纸张，页边距上下 2.54cm、左右 3.18cm，正文行距 1.5 倍。页脚居中放置页码，五号 Times New Roman，由 PAGE 域自动编号。中西文字体分离：正文西文用 Times New Roman 衬线体，标题西文用 Arial 无衬线体。间距体系对齐 NJUThesis LaTeX 模板，该模板全局行距倍数为 1.625，与 Word 1.5 倍行距的视觉效果一致。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表7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排版标准</w:t>
      </w:r>
    </w:p>
    <w:tbl>
      <w:tblPr>
        <w:tblStyle w:val="TableGrid"/>
        <w:tblW w:type="auto" w:w="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134"/>
        <w:gridCol w:w="1134"/>
        <w:gridCol w:w="1247"/>
        <w:gridCol w:w="2835"/>
        <w:gridCol w:w="907"/>
        <w:gridCol w:w="907"/>
      </w:tblGrid>
      <w:tr>
        <w:tc>
          <w:tcPr>
            <w:tcW w:type="dxa" w:w="113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元素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字体</w:t>
            </w:r>
          </w:p>
        </w:tc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字号</w:t>
            </w:r>
          </w:p>
        </w:tc>
        <w:tc>
          <w:tcPr>
            <w:tcW w:type="dxa" w:w="283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样式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段前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段后</w:t>
            </w:r>
          </w:p>
        </w:tc>
      </w:tr>
      <w:tr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文档标题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一号 26pt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加粗居中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18pt</w:t>
            </w:r>
          </w:p>
        </w:tc>
      </w:tr>
      <w:tr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一级标题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三号 16pt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二级标题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三级标题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正文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两端对齐，首行缩进 2 字符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分点段落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加粗标签加正文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块级公式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图标题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标签加粗，全角空格分隔，居中，位于图下方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</w:tr>
      <w:tr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表标题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标签加粗，全角空格分隔，居中，位于表上方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目录条目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黑体或宋体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四号或小四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固定行距 22pt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十七、环境要求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必需依赖仅两项，Python 3.8 以上版本与 python-docx。可选依赖按需安装：LibreOffice 用于 PDF 渲染验证与接受追踪修订，lxml 用于 XSD 模式验证，Poppler 的 pdftoppm 用于 PDF 转图片检查，pandoc 用于读取现有文档内容。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pip install python-docx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十八、文件结构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docx-formatter/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SKILL.md                    # 技能指令文件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README.md                   # 项目说明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README.docx                 # 排版效果样例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LICENSE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└── scripts/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build_docx.py           # 文档构建模板，排版与公式插入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mathHelpers.py          # OMML 数学元素构建器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formulas.py             # 预定义公式模板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validate_docx.py        # 轻量验证脚本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└── optional/               # 可选功能脚本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merge_runs.py       # 合并碎片 run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accept_changes.py   # 接受所有追踪修订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comment.py          # 批注管理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templates/          # 批注 XML 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└── office/             # 验证与转换工具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soffice.py      # LibreOffice 跨平台调用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validate.py     # XSD 模式验证入口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helpers/        # 通用辅助函数包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schemas/        # OOXML 模式文件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└── validators/     # 验证器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十九、安装与使用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通过客户端安装：将技能压缩包上传至 AI 客户端对应的技能安装位置，客户端自动读取 SKILL.md 中的指令。手动安装：将仓库内容复制到项目的 skills/docx-formatter 目录，目录名与 SKILL.md 中 name 字段保持一致。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安装后在对话中直接描述需求即可触发技能，例如生成一份带公式的 Word 文档、排版一份技术报告为 Word、用数学方程格式化这段文档、在 Word 中创建流程图。可选功能需明确要求，例如将文档转为 PDF 查看效果、对文档添加批注、以追踪修订方式修改现有文档。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二十、许可证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本项目可自由使用和修改。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二十一、致谢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排版部分标准对齐 </w:t>
      </w:r>
      <w:hyperlink r:id="rId10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NJUThesis</w:t>
        </w:r>
      </w:hyperlink>
      <w:r>
        <w:rPr>
          <w:rFonts w:ascii="Times New Roman" w:hAnsi="Times New Roman" w:eastAsia="宋体"/>
          <w:b w:val="0"/>
          <w:sz w:val="24"/>
        </w:rPr>
        <w:t xml:space="preserve"> LaTeX 模板，部分对齐</w:t>
      </w:r>
      <w:hyperlink r:id="rId11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北京大学研究生学位论文写作指南</w:t>
        </w:r>
      </w:hyperlink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可选功能参考 </w:t>
      </w:r>
      <w:hyperlink r:id="rId12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Anthropic 官方 docx 技能</w:t>
        </w:r>
      </w:hyperlink>
      <w:r>
        <w:rPr>
          <w:rFonts w:ascii="Times New Roman" w:hAnsi="Times New Roman" w:eastAsia="宋体"/>
          <w:b w:val="0"/>
          <w:sz w:val="24"/>
        </w:rPr>
        <w:t>。</w:t>
      </w:r>
    </w:p>
    <w:sectPr w:rsidR="00FC693F" w:rsidRPr="0006063C" w:rsidSect="00034616">
      <w:footerReference w:type="default" r:id="rId9"/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1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pPr>
      <w:spacing w:line="440" w:lineRule="exact"/>
    </w:pPr>
    <w:rPr>
      <w:rFonts w:ascii="黑体" w:hAnsi="黑体" w:eastAsia="黑体"/>
      <w:b w:val="0"/>
      <w:sz w:val="28"/>
      <w:bCs w:val="0"/>
      <w:szCs w:val="28"/>
    </w:rPr>
  </w:style>
  <w:style w:type="paragraph" w:styleId="TOC2">
    <w:name w:val="TOC 2"/>
    <w:basedOn w:val="Normal"/>
    <w:pPr>
      <w:spacing w:line="440" w:lineRule="exact"/>
    </w:pPr>
    <w:rPr>
      <w:rFonts w:ascii="宋体" w:hAnsi="宋体" w:eastAsia="宋体"/>
      <w:b w:val="0"/>
      <w:sz w:val="24"/>
      <w:bCs w:val="0"/>
      <w:szCs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nju-lug/NJUThesis" TargetMode="External"/><Relationship Id="rId11" Type="http://schemas.openxmlformats.org/officeDocument/2006/relationships/hyperlink" Target="https://grs.pku.edu.cn/docs/2019-03/20190304101034750506.pdf" TargetMode="External"/><Relationship Id="rId12" Type="http://schemas.openxmlformats.org/officeDocument/2006/relationships/hyperlink" Target="https://github.com/anthropics/skills/tree/main/skills/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