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480" w:after="360"/>
        <w:ind w:firstLine="0"/>
        <w:jc w:val="center"/>
      </w:pPr>
      <w:r>
        <w:rPr>
          <w:rFonts w:ascii="Arial" w:hAnsi="Arial" w:eastAsia="黑体"/>
          <w:b/>
          <w:sz w:val="52"/>
        </w:rPr>
        <w:t>docx-formatter 中文 Word 专业排版技能</w:t>
      </w:r>
    </w:p>
    <w:p>
      <w:r>
        <w:br w:type="page"/>
      </w:r>
    </w:p>
    <w:p>
      <w:pPr>
        <w:ind w:firstLine="0"/>
        <w:jc w:val="center"/>
      </w:pPr>
      <w:r>
        <w:rPr>
          <w:rFonts w:ascii="黑体" w:hAnsi="黑体" w:eastAsia="黑体"/>
          <w:b/>
          <w:color w:val="000000"/>
          <w:sz w:val="32"/>
        </w:rPr>
        <w:t>目  录</w:t>
      </w:r>
    </w:p>
    <w:p>
      <w:pPr>
        <w:ind w:firstLine="0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宋体" w:hAnsi="宋体" w:eastAsia="宋体"/>
          <w:b w:val="0"/>
          <w:sz w:val="24"/>
        </w:rPr>
        <w:t>（请在 Word 中右键此处选择"更新域"以生成目录）</w:t>
      </w:r>
      <w:r>
        <w:fldChar w:fldCharType="end"/>
      </w:r>
    </w:p>
    <w:p>
      <w:r>
        <w:br w:type="page"/>
      </w:r>
    </w:p>
    <w:p>
      <w:pPr>
        <w:pStyle w:val="Heading1"/>
        <w:spacing w:line="360" w:lineRule="auto" w:before="480" w:after="120"/>
        <w:ind w:firstLine="0"/>
        <w:jc w:val="left"/>
      </w:pPr>
      <w:r>
        <w:rPr>
          <w:rFonts w:ascii="Arial" w:hAnsi="Arial" w:eastAsia="黑体"/>
          <w:b/>
          <w:color w:val="000000"/>
          <w:sz w:val="32"/>
        </w:rPr>
        <w:t>一、项目简介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docx-formatter 生成专业排版的中文 Word 文档，覆盖章节结构、正文、数学公式、表格、流程图、目录、引用上标与文档验证的完整排版链路，输出符合学术与工程规范的 .docx 文件。排版效果可参考仓库中的 example.docx。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技能采用单引擎架构，仅依赖 Python 3.8 以上版本与 python-docx。数学公式由 mathHelpers.py 直接生成 OMML XML，即 Word 原生公式格式，公式在 Word 中可二次编辑，无需 Node.js 或任何外部转换工具。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本文档即由该技能自身排版生成：文中所有公式为 Word 原生可编辑公式，流程图与架构图为表格框图，引用标记为真实上标，可作为排版效果的直接样例。</w:t>
      </w:r>
    </w:p>
    <w:p>
      <w:pPr>
        <w:pStyle w:val="Heading1"/>
        <w:spacing w:line="360" w:lineRule="auto" w:before="480" w:after="120"/>
        <w:ind w:firstLine="0"/>
        <w:jc w:val="left"/>
      </w:pPr>
      <w:r>
        <w:rPr>
          <w:rFonts w:ascii="Arial" w:hAnsi="Arial" w:eastAsia="黑体"/>
          <w:b/>
          <w:color w:val="000000"/>
          <w:sz w:val="32"/>
        </w:rPr>
        <w:t>二、功能矩阵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技能共包含 18 个模块，其中 14 个默认启用，4 个为可选模块，仅在明确要求时启用。</w:t>
      </w:r>
    </w:p>
    <w:p>
      <w:pPr>
        <w:spacing w:before="240" w:after="120"/>
        <w:ind w:firstLine="0"/>
        <w:jc w:val="center"/>
      </w:pPr>
      <w:r>
        <w:rPr>
          <w:rFonts w:ascii="宋体" w:hAnsi="宋体" w:eastAsia="宋体"/>
          <w:b/>
          <w:sz w:val="21"/>
        </w:rPr>
        <w:t>表1</w:t>
      </w:r>
      <w:r>
        <w:rPr>
          <w:rFonts w:ascii="宋体" w:hAnsi="宋体" w:eastAsia="宋体"/>
          <w:b w:val="0"/>
          <w:sz w:val="21"/>
        </w:rPr>
        <w:t xml:space="preserve">　</w:t>
      </w:r>
      <w:r>
        <w:rPr>
          <w:rFonts w:ascii="宋体" w:hAnsi="宋体" w:eastAsia="宋体"/>
          <w:b w:val="0"/>
          <w:sz w:val="21"/>
        </w:rPr>
        <w:t>功能矩阵总览</w:t>
      </w:r>
    </w:p>
    <w:tbl>
      <w:tblPr>
        <w:tblStyle w:val="TableGrid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907"/>
        <w:gridCol w:w="5329"/>
      </w:tblGrid>
      <w:tr>
        <w:tc>
          <w:tcPr>
            <w:tcW w:type="dxa" w:w="1928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模块</w:t>
            </w:r>
          </w:p>
        </w:tc>
        <w:tc>
          <w:tcPr>
            <w:tcW w:type="dxa" w:w="907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默认状态</w:t>
            </w:r>
          </w:p>
        </w:tc>
        <w:tc>
          <w:tcPr>
            <w:tcW w:type="dxa" w:w="5329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92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标准排版</w:t>
            </w:r>
          </w:p>
        </w:tc>
        <w:tc>
          <w:tcPr>
            <w:tcW w:type="dxa" w:w="90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启用</w:t>
            </w:r>
          </w:p>
        </w:tc>
        <w:tc>
          <w:tcPr>
            <w:tcW w:type="dxa" w:w="532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标题、正文、缩进与行距体系</w:t>
            </w:r>
          </w:p>
        </w:tc>
      </w:tr>
      <w:tr>
        <w:tc>
          <w:tcPr>
            <w:tcW w:type="dxa" w:w="192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排版预设</w:t>
            </w:r>
          </w:p>
        </w:tc>
        <w:tc>
          <w:tcPr>
            <w:tcW w:type="dxa" w:w="90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启用</w:t>
            </w:r>
          </w:p>
        </w:tc>
        <w:tc>
          <w:tcPr>
            <w:tcW w:type="dxa" w:w="532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整套切换排版参数，支持中西文字体分离</w:t>
            </w:r>
          </w:p>
        </w:tc>
      </w:tr>
      <w:tr>
        <w:tc>
          <w:tcPr>
            <w:tcW w:type="dxa" w:w="192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OMML 数学公式</w:t>
            </w:r>
          </w:p>
        </w:tc>
        <w:tc>
          <w:tcPr>
            <w:tcW w:type="dxa" w:w="90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启用</w:t>
            </w:r>
          </w:p>
        </w:tc>
        <w:tc>
          <w:tcPr>
            <w:tcW w:type="dxa" w:w="532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行内与块级公式，Word 原生可编辑</w:t>
            </w:r>
          </w:p>
        </w:tc>
      </w:tr>
      <w:tr>
        <w:tc>
          <w:tcPr>
            <w:tcW w:type="dxa" w:w="192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引用上标</w:t>
            </w:r>
          </w:p>
        </w:tc>
        <w:tc>
          <w:tcPr>
            <w:tcW w:type="dxa" w:w="90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启用</w:t>
            </w:r>
          </w:p>
        </w:tc>
        <w:tc>
          <w:tcPr>
            <w:tcW w:type="dxa" w:w="532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参考文献标记自动渲染为上标</w:t>
            </w:r>
          </w:p>
        </w:tc>
      </w:tr>
      <w:tr>
        <w:tc>
          <w:tcPr>
            <w:tcW w:type="dxa" w:w="192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表格框图流程图</w:t>
            </w:r>
          </w:p>
        </w:tc>
        <w:tc>
          <w:tcPr>
            <w:tcW w:type="dxa" w:w="90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启用</w:t>
            </w:r>
          </w:p>
        </w:tc>
        <w:tc>
          <w:tcPr>
            <w:tcW w:type="dxa" w:w="532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表格与 Unicode 箭头构建流程图</w:t>
            </w:r>
          </w:p>
        </w:tc>
      </w:tr>
      <w:tr>
        <w:tc>
          <w:tcPr>
            <w:tcW w:type="dxa" w:w="192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分层架构图</w:t>
            </w:r>
          </w:p>
        </w:tc>
        <w:tc>
          <w:tcPr>
            <w:tcW w:type="dxa" w:w="90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启用</w:t>
            </w:r>
          </w:p>
        </w:tc>
        <w:tc>
          <w:tcPr>
            <w:tcW w:type="dxa" w:w="532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多层架构的表格框图堆叠</w:t>
            </w:r>
          </w:p>
        </w:tc>
      </w:tr>
      <w:tr>
        <w:tc>
          <w:tcPr>
            <w:tcW w:type="dxa" w:w="192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图表自动编号</w:t>
            </w:r>
          </w:p>
        </w:tc>
        <w:tc>
          <w:tcPr>
            <w:tcW w:type="dxa" w:w="90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启用</w:t>
            </w:r>
          </w:p>
        </w:tc>
        <w:tc>
          <w:tcPr>
            <w:tcW w:type="dxa" w:w="532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图表标题自动递增编号</w:t>
            </w:r>
          </w:p>
        </w:tc>
      </w:tr>
      <w:tr>
        <w:tc>
          <w:tcPr>
            <w:tcW w:type="dxa" w:w="192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代码块</w:t>
            </w:r>
          </w:p>
        </w:tc>
        <w:tc>
          <w:tcPr>
            <w:tcW w:type="dxa" w:w="90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启用</w:t>
            </w:r>
          </w:p>
        </w:tc>
        <w:tc>
          <w:tcPr>
            <w:tcW w:type="dxa" w:w="532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等宽字体与浅灰底纹</w:t>
            </w:r>
          </w:p>
        </w:tc>
      </w:tr>
      <w:tr>
        <w:tc>
          <w:tcPr>
            <w:tcW w:type="dxa" w:w="192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数据表</w:t>
            </w:r>
          </w:p>
        </w:tc>
        <w:tc>
          <w:tcPr>
            <w:tcW w:type="dxa" w:w="90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启用</w:t>
            </w:r>
          </w:p>
        </w:tc>
        <w:tc>
          <w:tcPr>
            <w:tcW w:type="dxa" w:w="532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灰色表头与固定列宽</w:t>
            </w:r>
          </w:p>
        </w:tc>
      </w:tr>
      <w:tr>
        <w:tc>
          <w:tcPr>
            <w:tcW w:type="dxa" w:w="192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单元格公式</w:t>
            </w:r>
          </w:p>
        </w:tc>
        <w:tc>
          <w:tcPr>
            <w:tcW w:type="dxa" w:w="90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启用</w:t>
            </w:r>
          </w:p>
        </w:tc>
        <w:tc>
          <w:tcPr>
            <w:tcW w:type="dxa" w:w="532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表格单元格内插入行内公式</w:t>
            </w:r>
          </w:p>
        </w:tc>
      </w:tr>
      <w:tr>
        <w:tc>
          <w:tcPr>
            <w:tcW w:type="dxa" w:w="192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目录生成</w:t>
            </w:r>
          </w:p>
        </w:tc>
        <w:tc>
          <w:tcPr>
            <w:tcW w:type="dxa" w:w="90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按需</w:t>
            </w:r>
          </w:p>
        </w:tc>
        <w:tc>
          <w:tcPr>
            <w:tcW w:type="dxa" w:w="532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Heading 样式加目录域</w:t>
            </w:r>
          </w:p>
        </w:tc>
      </w:tr>
      <w:tr>
        <w:tc>
          <w:tcPr>
            <w:tcW w:type="dxa" w:w="192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轻量文档验证</w:t>
            </w:r>
          </w:p>
        </w:tc>
        <w:tc>
          <w:tcPr>
            <w:tcW w:type="dxa" w:w="90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启用</w:t>
            </w:r>
          </w:p>
        </w:tc>
        <w:tc>
          <w:tcPr>
            <w:tcW w:type="dxa" w:w="532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纯标准库 5 项检查，生成后默认执行</w:t>
            </w:r>
          </w:p>
        </w:tc>
      </w:tr>
      <w:tr>
        <w:tc>
          <w:tcPr>
            <w:tcW w:type="dxa" w:w="192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安全解压与重打包</w:t>
            </w:r>
          </w:p>
        </w:tc>
        <w:tc>
          <w:tcPr>
            <w:tcW w:type="dxa" w:w="90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启用</w:t>
            </w:r>
          </w:p>
        </w:tc>
        <w:tc>
          <w:tcPr>
            <w:tcW w:type="dxa" w:w="532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编辑现有文档的安全基础</w:t>
            </w:r>
          </w:p>
        </w:tc>
      </w:tr>
      <w:tr>
        <w:tc>
          <w:tcPr>
            <w:tcW w:type="dxa" w:w="192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PDF 渲染验证</w:t>
            </w:r>
          </w:p>
        </w:tc>
        <w:tc>
          <w:tcPr>
            <w:tcW w:type="dxa" w:w="90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可选</w:t>
            </w:r>
          </w:p>
        </w:tc>
        <w:tc>
          <w:tcPr>
            <w:tcW w:type="dxa" w:w="532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LibreOffice 转换后视觉检查</w:t>
            </w:r>
          </w:p>
        </w:tc>
      </w:tr>
      <w:tr>
        <w:tc>
          <w:tcPr>
            <w:tcW w:type="dxa" w:w="192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XSD 模式验证</w:t>
            </w:r>
          </w:p>
        </w:tc>
        <w:tc>
          <w:tcPr>
            <w:tcW w:type="dxa" w:w="90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可选</w:t>
            </w:r>
          </w:p>
        </w:tc>
        <w:tc>
          <w:tcPr>
            <w:tcW w:type="dxa" w:w="532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OOXML 标准深度验证</w:t>
            </w:r>
          </w:p>
        </w:tc>
      </w:tr>
      <w:tr>
        <w:tc>
          <w:tcPr>
            <w:tcW w:type="dxa" w:w="192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编辑现有文档</w:t>
            </w:r>
          </w:p>
        </w:tc>
        <w:tc>
          <w:tcPr>
            <w:tcW w:type="dxa" w:w="90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可选</w:t>
            </w:r>
          </w:p>
        </w:tc>
        <w:tc>
          <w:tcPr>
            <w:tcW w:type="dxa" w:w="532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解压、编辑与重打包工作流</w:t>
            </w:r>
          </w:p>
        </w:tc>
      </w:tr>
      <w:tr>
        <w:tc>
          <w:tcPr>
            <w:tcW w:type="dxa" w:w="192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追踪修订</w:t>
            </w:r>
          </w:p>
        </w:tc>
        <w:tc>
          <w:tcPr>
            <w:tcW w:type="dxa" w:w="90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可选</w:t>
            </w:r>
          </w:p>
        </w:tc>
        <w:tc>
          <w:tcPr>
            <w:tcW w:type="dxa" w:w="532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接受全部追踪修订</w:t>
            </w:r>
          </w:p>
        </w:tc>
      </w:tr>
      <w:tr>
        <w:tc>
          <w:tcPr>
            <w:tcW w:type="dxa" w:w="192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批注管理</w:t>
            </w:r>
          </w:p>
        </w:tc>
        <w:tc>
          <w:tcPr>
            <w:tcW w:type="dxa" w:w="90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可选</w:t>
            </w:r>
          </w:p>
        </w:tc>
        <w:tc>
          <w:tcPr>
            <w:tcW w:type="dxa" w:w="532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批注插入与交叉链接维护</w:t>
            </w:r>
          </w:p>
        </w:tc>
      </w:tr>
    </w:tbl>
    <w:p>
      <w:pPr>
        <w:pStyle w:val="Heading1"/>
        <w:spacing w:line="360" w:lineRule="auto" w:before="480" w:after="120"/>
        <w:ind w:firstLine="0"/>
        <w:jc w:val="left"/>
      </w:pPr>
      <w:r>
        <w:rPr>
          <w:rFonts w:ascii="Arial" w:hAnsi="Arial" w:eastAsia="黑体"/>
          <w:b/>
          <w:color w:val="000000"/>
          <w:sz w:val="32"/>
        </w:rPr>
        <w:t>三、标准排版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标题使用黑体，正文使用宋体。文档标题一号 26pt 居中加粗，一级标题三号 16pt 左对齐，二级与三级标题小四 12pt。正文小四 12pt 两端对齐，首行缩进 2 字符，全文 1.5 倍行距。纸张为 A4，页边距上下 2.54cm、左右 3.18cm，页脚居中页码为五号 Times New Roman。各级标题颜色显式覆盖为黑色，规避 Word 内置 Heading 样式的默认蓝色。中西文字体分离：正文西文用 Times New Roman 衬线体，标题西文用 Arial 无衬线体。本文档各级标题与正文即为标准排版的实际效果。</w:t>
      </w:r>
    </w:p>
    <w:p>
      <w:pPr>
        <w:spacing w:before="240" w:after="120"/>
        <w:ind w:firstLine="0"/>
        <w:jc w:val="center"/>
      </w:pPr>
      <w:r>
        <w:rPr>
          <w:rFonts w:ascii="宋体" w:hAnsi="宋体" w:eastAsia="宋体"/>
          <w:b/>
          <w:sz w:val="21"/>
        </w:rPr>
        <w:t>表2</w:t>
      </w:r>
      <w:r>
        <w:rPr>
          <w:rFonts w:ascii="宋体" w:hAnsi="宋体" w:eastAsia="宋体"/>
          <w:b w:val="0"/>
          <w:sz w:val="21"/>
        </w:rPr>
        <w:t xml:space="preserve">　</w:t>
      </w:r>
      <w:r>
        <w:rPr>
          <w:rFonts w:ascii="宋体" w:hAnsi="宋体" w:eastAsia="宋体"/>
          <w:b w:val="0"/>
          <w:sz w:val="21"/>
        </w:rPr>
        <w:t>标准排版构件函数</w:t>
      </w:r>
    </w:p>
    <w:tbl>
      <w:tblPr>
        <w:tblStyle w:val="TableGrid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5783"/>
      </w:tblGrid>
      <w:tr>
        <w:tc>
          <w:tcPr>
            <w:tcW w:type="dxa" w:w="2381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函数</w:t>
            </w:r>
          </w:p>
        </w:tc>
        <w:tc>
          <w:tcPr>
            <w:tcW w:type="dxa" w:w="5783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用途</w:t>
            </w:r>
          </w:p>
        </w:tc>
      </w:tr>
      <w:tr>
        <w:tc>
          <w:tcPr>
            <w:tcW w:type="dxa" w:w="238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setup_document</w:t>
            </w:r>
          </w:p>
        </w:tc>
        <w:tc>
          <w:tcPr>
            <w:tcW w:type="dxa" w:w="578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创建文档并应用页面设置，自动重置图表计数器</w:t>
            </w:r>
          </w:p>
        </w:tc>
      </w:tr>
      <w:tr>
        <w:tc>
          <w:tcPr>
            <w:tcW w:type="dxa" w:w="238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add_title</w:t>
            </w:r>
          </w:p>
        </w:tc>
        <w:tc>
          <w:tcPr>
            <w:tcW w:type="dxa" w:w="578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文档主标题，黑体三号居中加粗</w:t>
            </w:r>
          </w:p>
        </w:tc>
      </w:tr>
      <w:tr>
        <w:tc>
          <w:tcPr>
            <w:tcW w:type="dxa" w:w="238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add_h1、add_h2、add_h3</w:t>
            </w:r>
          </w:p>
        </w:tc>
        <w:tc>
          <w:tcPr>
            <w:tcW w:type="dxa" w:w="578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一级、二级、三级标题，使用 Word 内置 Heading 样式，可进入目录</w:t>
            </w:r>
          </w:p>
        </w:tc>
      </w:tr>
      <w:tr>
        <w:tc>
          <w:tcPr>
            <w:tcW w:type="dxa" w:w="238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add_body</w:t>
            </w:r>
          </w:p>
        </w:tc>
        <w:tc>
          <w:tcPr>
            <w:tcW w:type="dxa" w:w="578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正文段落，支持加粗标记与引用上标</w:t>
            </w:r>
          </w:p>
        </w:tc>
      </w:tr>
      <w:tr>
        <w:tc>
          <w:tcPr>
            <w:tcW w:type="dxa" w:w="238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add_item_para</w:t>
            </w:r>
          </w:p>
        </w:tc>
        <w:tc>
          <w:tcPr>
            <w:tcW w:type="dxa" w:w="578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加粗标签加分点内容的段落，标签整体加粗</w:t>
            </w:r>
          </w:p>
        </w:tc>
      </w:tr>
    </w:tbl>
    <w:p>
      <w:pPr>
        <w:pStyle w:val="Heading1"/>
        <w:spacing w:line="360" w:lineRule="auto" w:before="480" w:after="120"/>
        <w:ind w:firstLine="0"/>
        <w:jc w:val="left"/>
      </w:pPr>
      <w:r>
        <w:rPr>
          <w:rFonts w:ascii="Arial" w:hAnsi="Arial" w:eastAsia="黑体"/>
          <w:b/>
          <w:color w:val="000000"/>
          <w:sz w:val="32"/>
        </w:rPr>
        <w:t>四、排版预设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排版参数集中在 build_docx.py 顶部的 PRESETS 字典中，按标题、正文、分点、图注、页面、目录等分组管理，各排版函数统一读取当前激活的预设。</w:t>
      </w:r>
    </w:p>
    <w:p>
      <w:pPr>
        <w:spacing w:line="360" w:lineRule="auto" w:after="140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set_preset 整套切换：</w:t>
      </w:r>
      <w:r>
        <w:rPr>
          <w:rFonts w:ascii="Times New Roman" w:hAnsi="Times New Roman" w:eastAsia="宋体"/>
          <w:b w:val="0"/>
          <w:sz w:val="24"/>
        </w:rPr>
        <w:t>须在 setup_document 之前调用，默认预设与标准排版一致，新增预设只需向 PRESETS 追加一份同结构的嵌套字典。</w:t>
      </w:r>
    </w:p>
    <w:p>
      <w:pPr>
        <w:spacing w:line="360" w:lineRule="auto" w:after="140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中西文字体分离：</w:t>
      </w:r>
      <w:r>
        <w:rPr>
          <w:rFonts w:ascii="Times New Roman" w:hAnsi="Times New Roman" w:eastAsia="宋体"/>
          <w:b w:val="0"/>
          <w:sz w:val="24"/>
        </w:rPr>
        <w:t>开启后西文使用 Times New Roman，中文保持原有字体不变。</w:t>
      </w:r>
    </w:p>
    <w:p>
      <w:pPr>
        <w:pStyle w:val="Heading1"/>
        <w:spacing w:line="360" w:lineRule="auto" w:before="480" w:after="120"/>
        <w:ind w:firstLine="0"/>
        <w:jc w:val="left"/>
      </w:pPr>
      <w:r>
        <w:rPr>
          <w:rFonts w:ascii="Arial" w:hAnsi="Arial" w:eastAsia="黑体"/>
          <w:b/>
          <w:color w:val="000000"/>
          <w:sz w:val="32"/>
        </w:rPr>
        <w:t>五、OMML 数学公式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公式构建器提供一组组合函数，直接生成 OMML XML 并插入文档，产物为 Word 原生可编辑公式，与手动插入的公式完全一致。下表为全部构建函数：</w:t>
      </w:r>
    </w:p>
    <w:p>
      <w:pPr>
        <w:spacing w:before="240" w:after="120"/>
        <w:ind w:firstLine="0"/>
        <w:jc w:val="center"/>
      </w:pPr>
      <w:r>
        <w:rPr>
          <w:rFonts w:ascii="宋体" w:hAnsi="宋体" w:eastAsia="宋体"/>
          <w:b/>
          <w:sz w:val="21"/>
        </w:rPr>
        <w:t>表3</w:t>
      </w:r>
      <w:r>
        <w:rPr>
          <w:rFonts w:ascii="宋体" w:hAnsi="宋体" w:eastAsia="宋体"/>
          <w:b w:val="0"/>
          <w:sz w:val="21"/>
        </w:rPr>
        <w:t xml:space="preserve">　</w:t>
      </w:r>
      <w:r>
        <w:rPr>
          <w:rFonts w:ascii="宋体" w:hAnsi="宋体" w:eastAsia="宋体"/>
          <w:b w:val="0"/>
          <w:sz w:val="21"/>
        </w:rPr>
        <w:t>OMML 公式构建函数</w:t>
      </w:r>
    </w:p>
    <w:tbl>
      <w:tblPr>
        <w:tblStyle w:val="TableGrid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6350"/>
      </w:tblGrid>
      <w:tr>
        <w:tc>
          <w:tcPr>
            <w:tcW w:type="dxa" w:w="1814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构建函数</w:t>
            </w:r>
          </w:p>
        </w:tc>
        <w:tc>
          <w:tcPr>
            <w:tcW w:type="dxa" w:w="6350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用途</w:t>
            </w:r>
          </w:p>
        </w:tc>
      </w:tr>
      <w:tr>
        <w:tc>
          <w:tcPr>
            <w:tcW w:type="dxa" w:w="181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r</w:t>
            </w:r>
          </w:p>
        </w:tc>
        <w:tc>
          <w:tcPr>
            <w:tcW w:type="dxa" w:w="635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纯数学文本，自动转义 XML 特殊字符</w:t>
            </w:r>
          </w:p>
        </w:tc>
      </w:tr>
      <w:tr>
        <w:tc>
          <w:tcPr>
            <w:tcW w:type="dxa" w:w="181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sub</w:t>
            </w:r>
          </w:p>
        </w:tc>
        <w:tc>
          <w:tcPr>
            <w:tcW w:type="dxa" w:w="635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下标，如 a 的下标 k</w:t>
            </w:r>
          </w:p>
        </w:tc>
      </w:tr>
      <w:tr>
        <w:tc>
          <w:tcPr>
            <w:tcW w:type="dxa" w:w="181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sup</w:t>
            </w:r>
          </w:p>
        </w:tc>
        <w:tc>
          <w:tcPr>
            <w:tcW w:type="dxa" w:w="635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上标，如 x 的平方</w:t>
            </w:r>
          </w:p>
        </w:tc>
      </w:tr>
      <w:tr>
        <w:tc>
          <w:tcPr>
            <w:tcW w:type="dxa" w:w="181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frac</w:t>
            </w:r>
          </w:p>
        </w:tc>
        <w:tc>
          <w:tcPr>
            <w:tcW w:type="dxa" w:w="635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分式</w:t>
            </w:r>
          </w:p>
        </w:tc>
      </w:tr>
      <w:tr>
        <w:tc>
          <w:tcPr>
            <w:tcW w:type="dxa" w:w="181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sumOp</w:t>
            </w:r>
          </w:p>
        </w:tc>
        <w:tc>
          <w:tcPr>
            <w:tcW w:type="dxa" w:w="635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求和符号，下标结构配合 Unicode ∑，规避空上标渲染异常</w:t>
            </w:r>
          </w:p>
        </w:tc>
      </w:tr>
      <w:tr>
        <w:tc>
          <w:tcPr>
            <w:tcW w:type="dxa" w:w="181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func</w:t>
            </w:r>
          </w:p>
        </w:tc>
        <w:tc>
          <w:tcPr>
            <w:tcW w:type="dxa" w:w="635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函数名加参数，如 cos 与 exp</w:t>
            </w:r>
          </w:p>
        </w:tc>
      </w:tr>
      <w:tr>
        <w:tc>
          <w:tcPr>
            <w:tcW w:type="dxa" w:w="181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paren</w:t>
            </w:r>
          </w:p>
        </w:tc>
        <w:tc>
          <w:tcPr>
            <w:tcW w:type="dxa" w:w="635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圆括号结构</w:t>
            </w:r>
          </w:p>
        </w:tc>
      </w:tr>
      <w:tr>
        <w:tc>
          <w:tcPr>
            <w:tcW w:type="dxa" w:w="181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bracket</w:t>
            </w:r>
          </w:p>
        </w:tc>
        <w:tc>
          <w:tcPr>
            <w:tcW w:type="dxa" w:w="635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方括号结构</w:t>
            </w:r>
          </w:p>
        </w:tc>
      </w:tr>
      <w:tr>
        <w:tc>
          <w:tcPr>
            <w:tcW w:type="dxa" w:w="181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math</w:t>
            </w:r>
          </w:p>
        </w:tc>
        <w:tc>
          <w:tcPr>
            <w:tcW w:type="dxa" w:w="635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块级公式，居中独立成行</w:t>
            </w:r>
          </w:p>
        </w:tc>
      </w:tr>
      <w:tr>
        <w:tc>
          <w:tcPr>
            <w:tcW w:type="dxa" w:w="181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inlineMath</w:t>
            </w:r>
          </w:p>
        </w:tc>
        <w:tc>
          <w:tcPr>
            <w:tcW w:type="dxa" w:w="635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行内公式，与正文混排</w:t>
            </w:r>
          </w:p>
        </w:tc>
      </w:tr>
    </w:tbl>
    <w:p>
      <w:pPr>
        <w:pStyle w:val="Heading2"/>
        <w:spacing w:line="360" w:lineRule="auto" w:before="240" w:after="120"/>
        <w:ind w:firstLine="0"/>
        <w:jc w:val="left"/>
      </w:pPr>
      <w:r>
        <w:rPr>
          <w:rFonts w:ascii="Arial" w:hAnsi="Arial" w:eastAsia="黑体"/>
          <w:b/>
          <w:color w:val="000000"/>
          <w:sz w:val="24"/>
        </w:rPr>
        <w:t>5.1 块级公式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块级公式居中独立成行。以傅里叶级数为例，下方公式即为 Word 原生可编辑公式：</w:t>
      </w:r>
    </w:p>
    <w:p>
      <w:pPr>
        <w:spacing w:line="360" w:lineRule="auto" w:before="120" w:after="120"/>
        <w:ind w:firstLine="0"/>
        <w:jc w:val="center"/>
      </w:pPr>
      <m:oMath>
        <m:r>
          <m:t>f(t) = </m:t>
        </m:r>
        <m:f>
          <m:num>
            <m:sSub>
              <m:sSubPr/>
              <m:e>
                <m:r>
                  <m:t>a</m:t>
                </m:r>
              </m:e>
              <m:sub>
                <m:r>
                  <m:t>0</m:t>
                </m:r>
              </m:sub>
            </m:sSub>
          </m:num>
          <m:den>
            <m:r>
              <m:t>2</m:t>
            </m:r>
          </m:den>
        </m:f>
        <m:r>
          <m:t> + </m:t>
        </m:r>
        <m:sSub>
          <m:sSubPr/>
          <m:e>
            <m:r>
              <m:t>∑</m:t>
            </m:r>
          </m:e>
          <m:sub>
            <m:r>
              <m:t>k</m:t>
            </m:r>
          </m:sub>
        </m:sSub>
        <m:sSub>
          <m:sSubPr/>
          <m:e>
            <m:r>
              <m:t>a</m:t>
            </m:r>
          </m:e>
          <m:sub>
            <m:r>
              <m:t>k</m:t>
            </m:r>
          </m:sub>
        </m:sSub>
        <m:func>
          <m:funcPr/>
          <m:fName>
            <m:r>
              <m:t>cos</m:t>
            </m:r>
          </m:fName>
          <m:e>
            <m:d>
              <m:dPr/>
              <m:e>
                <m:r>
                  <m:t>k</m:t>
                </m:r>
                <m:r>
                  <m:t>ωt</m:t>
                </m:r>
              </m:e>
            </m:d>
          </m:e>
        </m:func>
      </m:oMath>
    </w:p>
    <w:p>
      <w:pPr>
        <w:spacing w:before="120" w:after="240"/>
        <w:ind w:firstLine="0"/>
        <w:jc w:val="center"/>
      </w:pPr>
      <w:r>
        <w:rPr>
          <w:rFonts w:ascii="宋体" w:hAnsi="宋体" w:eastAsia="宋体"/>
          <w:b/>
          <w:sz w:val="21"/>
        </w:rPr>
        <w:t>图1</w:t>
      </w:r>
      <w:r>
        <w:rPr>
          <w:rFonts w:ascii="宋体" w:hAnsi="宋体" w:eastAsia="宋体"/>
          <w:b w:val="0"/>
          <w:sz w:val="21"/>
        </w:rPr>
        <w:t xml:space="preserve">　</w:t>
      </w:r>
      <w:r>
        <w:rPr>
          <w:rFonts w:ascii="宋体" w:hAnsi="宋体" w:eastAsia="宋体"/>
          <w:b w:val="0"/>
          <w:sz w:val="21"/>
        </w:rPr>
        <w:t>傅里叶级数展开的块级公式</w:t>
      </w:r>
    </w:p>
    <w:p>
      <w:pPr>
        <w:pStyle w:val="Heading2"/>
        <w:spacing w:line="360" w:lineRule="auto" w:before="240" w:after="120"/>
        <w:ind w:firstLine="0"/>
        <w:jc w:val="left"/>
      </w:pPr>
      <w:r>
        <w:rPr>
          <w:rFonts w:ascii="Arial" w:hAnsi="Arial" w:eastAsia="黑体"/>
          <w:b/>
          <w:color w:val="000000"/>
          <w:sz w:val="24"/>
        </w:rPr>
        <w:t>5.2 行内公式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行内公式与正文混排，如下段中的傅里叶系数：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其中，</w:t>
      </w:r>
      <m:oMath>
        <m:sSub>
          <m:sSubPr/>
          <m:e>
            <m:r>
              <m:t>a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宋体"/>
          <w:b w:val="0"/>
          <w:sz w:val="24"/>
        </w:rPr>
        <w:t>为傅里叶系数，其数值由欧拉公式确定，收敛速度与信号的光滑性相关。</w:t>
      </w:r>
    </w:p>
    <w:p>
      <w:pPr>
        <w:pStyle w:val="Heading2"/>
        <w:spacing w:line="360" w:lineRule="auto" w:before="240" w:after="120"/>
        <w:ind w:firstLine="0"/>
        <w:jc w:val="left"/>
      </w:pPr>
      <w:r>
        <w:rPr>
          <w:rFonts w:ascii="Arial" w:hAnsi="Arial" w:eastAsia="黑体"/>
          <w:b/>
          <w:color w:val="000000"/>
          <w:sz w:val="24"/>
        </w:rPr>
        <w:t>5.3 复杂嵌套结构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对于分式套分式、双重求和、函数嵌套的复杂结构，构建函数可任意组合。下方为似然比检测损失的完整形态，包含分式嵌套、exp 与 log 嵌套、集合记号与权重系数：</w:t>
      </w:r>
    </w:p>
    <w:p>
      <w:pPr>
        <w:spacing w:line="360" w:lineRule="auto" w:before="120" w:after="120"/>
        <w:ind w:firstLine="0"/>
        <w:jc w:val="center"/>
      </w:pPr>
      <m:oMath>
        <m:sSub>
          <m:sSubPr/>
          <m:e>
            <m:r>
              <m:t>E</m:t>
            </m:r>
          </m:e>
          <m:sub>
            <m:r>
              <m:t>det</m:t>
            </m:r>
          </m:sub>
        </m:sSub>
        <m:r>
          <m:t> = −</m:t>
        </m:r>
        <m:sSub>
          <m:sSubPr/>
          <m:e>
            <m:r>
              <m:t>∑</m:t>
            </m:r>
          </m:e>
          <m:sub>
            <m:r>
              <m:t>n∈N</m:t>
            </m:r>
          </m:sub>
        </m:sSub>
        <m:r>
          <m:t>[</m:t>
        </m:r>
        <m:f>
          <m:num>
            <m:r>
              <m:t>1</m:t>
            </m:r>
          </m:num>
          <m:den>
            <m:r>
              <m:t>|K(n)|</m:t>
            </m:r>
          </m:den>
        </m:f>
        <m:r>
          <m:t> </m:t>
        </m:r>
        <m:sSub>
          <m:sSubPr/>
          <m:e>
            <m:r>
              <m:t>∑</m:t>
            </m:r>
          </m:e>
          <m:sub>
            <m:r>
              <m:t>k∈K(n)</m:t>
            </m:r>
          </m:sub>
        </m:sSub>
        <m:func>
          <m:funcPr/>
          <m:fName>
            <m:r>
              <m:t>log</m:t>
            </m:r>
          </m:fName>
          <m:e>
            <m:d>
              <m:dPr/>
              <m:e>
                <m:f>
                  <m:num>
                    <m:func>
                      <m:funcPr/>
                      <m:fName>
                        <m:r>
                          <m:t>exp</m:t>
                        </m:r>
                      </m:fName>
                      <m:e>
                        <m:d>
                          <m:dPr/>
                          <m:e>
                            <m:f>
                              <m:num>
                                <m:r>
                                  <m:t>s(</m:t>
                                </m:r>
                                <m:sSub>
                                  <m:sSubPr/>
                                  <m:e>
                                    <m:r>
                                      <m:t>x</m:t>
                                    </m:r>
                                  </m:e>
                                  <m:sub>
                                    <m:r>
                                      <m:t>n</m:t>
                                    </m:r>
                                  </m:sub>
                                </m:sSub>
                                <m:r>
                                  <m:t>,</m:t>
                                </m:r>
                                <m:sSub>
                                  <m:sSubPr/>
                                  <m:e>
                                    <m:r>
                                      <m:t>h</m:t>
                                    </m:r>
                                  </m:e>
                                  <m:sub>
                                    <m:r>
                                      <m:t>k</m:t>
                                    </m:r>
                                  </m:sub>
                                </m:sSub>
                                <m:r>
                                  <m:t>)</m:t>
                                </m:r>
                              </m:num>
                              <m:den>
                                <m:r>
                                  <m:t>τ</m:t>
                                </m:r>
                              </m:den>
                            </m:f>
                          </m:e>
                        </m:d>
                      </m:e>
                    </m:func>
                  </m:num>
                  <m:den>
                    <m:func>
                      <m:funcPr/>
                      <m:fName>
                        <m:r>
                          <m:t>exp</m:t>
                        </m:r>
                      </m:fName>
                      <m:e>
                        <m:d>
                          <m:dPr/>
                          <m:e>
                            <m:f>
                              <m:num>
                                <m:r>
                                  <m:t>s(</m:t>
                                </m:r>
                                <m:sSub>
                                  <m:sSubPr/>
                                  <m:e>
                                    <m:r>
                                      <m:t>x</m:t>
                                    </m:r>
                                  </m:e>
                                  <m:sub>
                                    <m:r>
                                      <m:t>n</m:t>
                                    </m:r>
                                  </m:sub>
                                </m:sSub>
                                <m:r>
                                  <m:t>,</m:t>
                                </m:r>
                                <m:sSub>
                                  <m:sSubPr/>
                                  <m:e>
                                    <m:r>
                                      <m:t>h</m:t>
                                    </m:r>
                                  </m:e>
                                  <m:sub>
                                    <m:r>
                                      <m:t>k</m:t>
                                    </m:r>
                                  </m:sub>
                                </m:sSub>
                                <m:r>
                                  <m:t>)</m:t>
                                </m:r>
                              </m:num>
                              <m:den>
                                <m:r>
                                  <m:t>τ</m:t>
                                </m:r>
                              </m:den>
                            </m:f>
                          </m:e>
                        </m:d>
                      </m:e>
                    </m:func>
                    <m:r>
                      <m:t> + </m:t>
                    </m:r>
                    <m:sSub>
                      <m:sSubPr/>
                      <m:e>
                        <m:r>
                          <m:t>∑</m:t>
                        </m:r>
                      </m:e>
                      <m:sub>
                        <m:r>
                          <m:t>m∉K(n)</m:t>
                        </m:r>
                      </m:sub>
                    </m:sSub>
                    <m:sSub>
                      <m:sSubPr/>
                      <m:e>
                        <m:r>
                          <m:t>w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t> · </m:t>
                    </m:r>
                    <m:func>
                      <m:funcPr/>
                      <m:fName>
                        <m:r>
                          <m:t>exp</m:t>
                        </m:r>
                      </m:fName>
                      <m:e>
                        <m:d>
                          <m:dPr/>
                          <m:e>
                            <m:f>
                              <m:num>
                                <m:r>
                                  <m:t>s(</m:t>
                                </m:r>
                                <m:sSub>
                                  <m:sSubPr/>
                                  <m:e>
                                    <m:r>
                                      <m:t>x</m:t>
                                    </m:r>
                                  </m:e>
                                  <m:sub>
                                    <m:r>
                                      <m:t>n</m:t>
                                    </m:r>
                                  </m:sub>
                                </m:sSub>
                                <m:r>
                                  <m:t>,</m:t>
                                </m:r>
                                <m:sSub>
                                  <m:sSubPr/>
                                  <m:e>
                                    <m:r>
                                      <m:t>h</m:t>
                                    </m:r>
                                  </m:e>
                                  <m:sub>
                                    <m:r>
                                      <m:t>m</m:t>
                                    </m:r>
                                  </m:sub>
                                </m:sSub>
                                <m:r>
                                  <m:t>)</m:t>
                                </m:r>
                              </m:num>
                              <m:den>
                                <m:r>
                                  <m:t>τ</m:t>
                                </m:r>
                              </m:den>
                            </m:f>
                          </m:e>
                        </m:d>
                      </m:e>
                    </m:func>
                  </m:den>
                </m:f>
              </m:e>
            </m:d>
          </m:e>
        </m:func>
        <m:r>
          <m:t>]</m:t>
        </m:r>
      </m:oMath>
    </w:p>
    <w:p>
      <w:pPr>
        <w:spacing w:before="120" w:after="240"/>
        <w:ind w:firstLine="0"/>
        <w:jc w:val="center"/>
      </w:pPr>
      <w:r>
        <w:rPr>
          <w:rFonts w:ascii="宋体" w:hAnsi="宋体" w:eastAsia="宋体"/>
          <w:b/>
          <w:sz w:val="21"/>
        </w:rPr>
        <w:t>图2</w:t>
      </w:r>
      <w:r>
        <w:rPr>
          <w:rFonts w:ascii="宋体" w:hAnsi="宋体" w:eastAsia="宋体"/>
          <w:b w:val="0"/>
          <w:sz w:val="21"/>
        </w:rPr>
        <w:t xml:space="preserve">　</w:t>
      </w:r>
      <w:r>
        <w:rPr>
          <w:rFonts w:ascii="宋体" w:hAnsi="宋体" w:eastAsia="宋体"/>
          <w:b w:val="0"/>
          <w:sz w:val="21"/>
        </w:rPr>
        <w:t>似然比检测损失的嵌套公式</w:t>
      </w:r>
    </w:p>
    <w:p>
      <w:pPr>
        <w:pStyle w:val="Heading2"/>
        <w:spacing w:line="360" w:lineRule="auto" w:before="240" w:after="120"/>
        <w:ind w:firstLine="0"/>
        <w:jc w:val="left"/>
      </w:pPr>
      <w:r>
        <w:rPr>
          <w:rFonts w:ascii="Arial" w:hAnsi="Arial" w:eastAsia="黑体"/>
          <w:b/>
          <w:color w:val="000000"/>
          <w:sz w:val="24"/>
        </w:rPr>
        <w:t>5.4 希腊字母与数学符号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希腊字母与数学符号以 Unicode 直接书写，formulas.py 内置若干常用公式模板，可直接插入文档，也可作为自定义公式的参考模式。求和符号必须使用 sumOp 构建：求和若采用 n 元运算符加空上标的写法，Word 会渲染一个不可见的上标占位框，导致文件看起来损坏；sumOp 改用下标结构配合 Unicode ∑ 实现，彻底规避该问题。所有接收子元素的函数内部自动展平嵌套列表，防止 XML 拼接错误。</w:t>
      </w:r>
    </w:p>
    <w:p>
      <w:pPr>
        <w:pStyle w:val="Heading1"/>
        <w:spacing w:line="360" w:lineRule="auto" w:before="480" w:after="120"/>
        <w:ind w:firstLine="0"/>
        <w:jc w:val="left"/>
      </w:pPr>
      <w:r>
        <w:rPr>
          <w:rFonts w:ascii="Arial" w:hAnsi="Arial" w:eastAsia="黑体"/>
          <w:b/>
          <w:color w:val="000000"/>
          <w:sz w:val="32"/>
        </w:rPr>
        <w:t>六、引用上标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正文中的参考文献标记自动渲染为上标，适用于 add_body 与 add_item_para，支持单个引用、多个引用与范围引用三种格式。本段即为实际渲染效果：傅里叶分析方法在信号处理任务中表现出色</w:t>
      </w:r>
      <w:r>
        <w:rPr>
          <w:rFonts w:ascii="Times New Roman" w:hAnsi="Times New Roman" w:eastAsia="宋体"/>
          <w:b w:val="0"/>
          <w:sz w:val="24"/>
          <w:vertAlign w:val="superscript"/>
        </w:rPr>
        <w:t>[1]</w:t>
      </w:r>
      <w:r>
        <w:rPr>
          <w:rFonts w:ascii="Times New Roman" w:hAnsi="Times New Roman" w:eastAsia="宋体"/>
          <w:b w:val="0"/>
          <w:sz w:val="24"/>
        </w:rPr>
        <w:t>，后续研究</w:t>
      </w:r>
      <w:r>
        <w:rPr>
          <w:rFonts w:ascii="Times New Roman" w:hAnsi="Times New Roman" w:eastAsia="宋体"/>
          <w:b w:val="0"/>
          <w:sz w:val="24"/>
          <w:vertAlign w:val="superscript"/>
        </w:rPr>
        <w:t>[2,3]</w:t>
      </w:r>
      <w:r>
        <w:rPr>
          <w:rFonts w:ascii="Times New Roman" w:hAnsi="Times New Roman" w:eastAsia="宋体"/>
          <w:b w:val="0"/>
          <w:sz w:val="24"/>
        </w:rPr>
        <w:t>进一步验证了这一结论，系统综述见</w:t>
      </w:r>
      <w:r>
        <w:rPr>
          <w:rFonts w:ascii="Times New Roman" w:hAnsi="Times New Roman" w:eastAsia="宋体"/>
          <w:b w:val="0"/>
          <w:sz w:val="24"/>
          <w:vertAlign w:val="superscript"/>
        </w:rPr>
        <w:t>[1-3]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pStyle w:val="Heading1"/>
        <w:spacing w:line="360" w:lineRule="auto" w:before="480" w:after="120"/>
        <w:ind w:firstLine="0"/>
        <w:jc w:val="left"/>
      </w:pPr>
      <w:r>
        <w:rPr>
          <w:rFonts w:ascii="Arial" w:hAnsi="Arial" w:eastAsia="黑体"/>
          <w:b/>
          <w:color w:val="000000"/>
          <w:sz w:val="32"/>
        </w:rPr>
        <w:t>七、参考文献列表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add_bibliography 生成 GB/T 7714-2015 顺序编码制参考文献表，格式对齐 NJUThesis LaTeX 模板，与正文引用上标配套使用：正文中的 </w:t>
      </w:r>
      <w:r>
        <w:rPr>
          <w:rFonts w:ascii="Times New Roman" w:hAnsi="Times New Roman" w:eastAsia="宋体"/>
          <w:b w:val="0"/>
          <w:sz w:val="24"/>
          <w:vertAlign w:val="superscript"/>
        </w:rPr>
        <w:t>[1]</w:t>
      </w:r>
      <w:r>
        <w:rPr>
          <w:rFonts w:ascii="Times New Roman" w:hAnsi="Times New Roman" w:eastAsia="宋体"/>
          <w:b w:val="0"/>
          <w:sz w:val="24"/>
        </w:rPr>
        <w:t xml:space="preserve"> 指向条目列表第一项，以此类推。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章节标题为黑体三号加粗居中，使用 Heading 1 样式，进入目录；条目为宋体五号，两端对齐，1.5 倍行距，悬挂缩进 2 字符，折行后与序号后文字对齐；序号 </w:t>
      </w:r>
      <w:r>
        <w:rPr>
          <w:rFonts w:ascii="Times New Roman" w:hAnsi="Times New Roman" w:eastAsia="宋体"/>
          <w:b w:val="0"/>
          <w:sz w:val="24"/>
          <w:vertAlign w:val="superscript"/>
        </w:rPr>
        <w:t>[1]</w:t>
      </w:r>
      <w:r>
        <w:rPr>
          <w:rFonts w:ascii="Times New Roman" w:hAnsi="Times New Roman" w:eastAsia="宋体"/>
          <w:b w:val="0"/>
          <w:sz w:val="24"/>
        </w:rPr>
        <w:t>、</w:t>
      </w:r>
      <w:r>
        <w:rPr>
          <w:rFonts w:ascii="Times New Roman" w:hAnsi="Times New Roman" w:eastAsia="宋体"/>
          <w:b w:val="0"/>
          <w:sz w:val="24"/>
          <w:vertAlign w:val="superscript"/>
        </w:rPr>
        <w:t>[2]</w:t>
      </w:r>
      <w:r>
        <w:rPr>
          <w:rFonts w:ascii="Times New Roman" w:hAnsi="Times New Roman" w:eastAsia="宋体"/>
          <w:b w:val="0"/>
          <w:sz w:val="24"/>
        </w:rPr>
        <w:t xml:space="preserve"> 按传入顺序自动生成，无需手写。下方即本文档的参考文献表实际渲染效果：</w:t>
      </w:r>
    </w:p>
    <w:p>
      <w:pPr>
        <w:pStyle w:val="Heading1"/>
        <w:spacing w:line="360" w:lineRule="auto" w:before="480" w:after="120"/>
        <w:ind w:firstLine="0"/>
        <w:jc w:val="center"/>
      </w:pPr>
      <w:r>
        <w:rPr>
          <w:rFonts w:ascii="Arial" w:hAnsi="Arial" w:eastAsia="黑体"/>
          <w:b/>
          <w:color w:val="000000"/>
          <w:sz w:val="32"/>
        </w:rPr>
        <w:t>参考文献</w:t>
      </w:r>
    </w:p>
    <w:p>
      <w:pPr>
        <w:spacing w:line="360" w:lineRule="auto" w:after="60"/>
        <w:ind w:hanging="420" w:left="420"/>
        <w:jc w:val="both"/>
      </w:pPr>
      <w:r>
        <w:rPr>
          <w:rFonts w:ascii="Times New Roman" w:hAnsi="Times New Roman" w:eastAsia="宋体"/>
          <w:b w:val="0"/>
          <w:sz w:val="21"/>
        </w:rPr>
        <w:t>[1] 程佩青. 数字信号处理教程[M]. 4版. 北京: 清华大学出版社, 2015</w:t>
      </w:r>
    </w:p>
    <w:p>
      <w:pPr>
        <w:spacing w:line="360" w:lineRule="auto" w:after="60"/>
        <w:ind w:hanging="420" w:left="420"/>
        <w:jc w:val="both"/>
      </w:pPr>
      <w:r>
        <w:rPr>
          <w:rFonts w:ascii="Times New Roman" w:hAnsi="Times New Roman" w:eastAsia="宋体"/>
          <w:b w:val="0"/>
          <w:sz w:val="21"/>
        </w:rPr>
        <w:t>[2] 陈大明, 刘思远. 基于加窗傅里叶变换的谐波检测方法[J]. 信号处理学报, 2023, 41(2): 115-128</w:t>
      </w:r>
    </w:p>
    <w:p>
      <w:pPr>
        <w:spacing w:line="360" w:lineRule="auto" w:after="60"/>
        <w:ind w:hanging="420" w:left="420"/>
        <w:jc w:val="both"/>
      </w:pPr>
      <w:r>
        <w:rPr>
          <w:rFonts w:ascii="Times New Roman" w:hAnsi="Times New Roman" w:eastAsia="宋体"/>
          <w:b w:val="0"/>
          <w:sz w:val="21"/>
        </w:rPr>
        <w:t>[3] Oppenheim A V, Willsky A S, Nawab S H. Signals and Systems[M]. 2nd ed. Upper Saddle River: Prentice Hall, 1997</w:t>
      </w:r>
    </w:p>
    <w:p>
      <w:pPr>
        <w:spacing w:line="360" w:lineRule="auto" w:after="60"/>
        <w:ind w:hanging="420" w:left="420"/>
        <w:jc w:val="both"/>
      </w:pPr>
      <w:r>
        <w:rPr>
          <w:rFonts w:ascii="Times New Roman" w:hAnsi="Times New Roman" w:eastAsia="宋体"/>
          <w:b w:val="0"/>
          <w:sz w:val="21"/>
        </w:rPr>
        <w:t>[4] 周文静. 短时傅里叶变换在振动信号分析中的应用[D]. 南京: 东南大学, 2021</w:t>
      </w:r>
    </w:p>
    <w:p>
      <w:pPr>
        <w:spacing w:line="360" w:lineRule="auto" w:after="60"/>
        <w:ind w:hanging="420" w:left="420"/>
        <w:jc w:val="both"/>
      </w:pPr>
      <w:r>
        <w:rPr>
          <w:rFonts w:ascii="Times New Roman" w:hAnsi="Times New Roman" w:eastAsia="宋体"/>
          <w:b w:val="0"/>
          <w:sz w:val="21"/>
        </w:rPr>
        <w:t>[5] Zhang W, Liu H. Window function selection for spectral leakage suppression[C]//Proceedings of the International Conference on Signal Processing. Beijing: IEEE, 2021: 45-52</w:t>
      </w:r>
    </w:p>
    <w:p>
      <w:pPr>
        <w:spacing w:line="360" w:lineRule="auto" w:after="60"/>
        <w:ind w:hanging="420" w:left="420"/>
        <w:jc w:val="both"/>
      </w:pPr>
      <w:r>
        <w:rPr>
          <w:rFonts w:ascii="Times New Roman" w:hAnsi="Times New Roman" w:eastAsia="宋体"/>
          <w:b w:val="0"/>
          <w:sz w:val="21"/>
        </w:rPr>
        <w:t>[6] 全国信息与文献标准化技术委员会. 信息与文献 参考文献著录规则: GB/T 7714-2015[S]. 北京: 中国标准出版社, 2015</w:t>
      </w:r>
    </w:p>
    <w:p>
      <w:pPr>
        <w:pStyle w:val="Heading1"/>
        <w:spacing w:line="360" w:lineRule="auto" w:before="480" w:after="120"/>
        <w:ind w:firstLine="0"/>
        <w:jc w:val="left"/>
      </w:pPr>
      <w:r>
        <w:rPr>
          <w:rFonts w:ascii="Arial" w:hAnsi="Arial" w:eastAsia="黑体"/>
          <w:b/>
          <w:color w:val="000000"/>
          <w:sz w:val="32"/>
        </w:rPr>
        <w:t>八、表格框图流程图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流程图由 Word 表格与 Unicode 箭头构成，不使用图片，不使用 emoji，产物在任何 Word 版本中均可编辑。以信号处理流程为例，下方流程图即为表格框图的真实渲染结果：</w:t>
      </w:r>
    </w:p>
    <w:tbl>
      <w:tblPr>
        <w:tblStyle w:val="TableGrid"/>
        <w:tblW w:type="auto" w:w="0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none" w:sz="4" w:space="0" w:color="auto"/>
        </w:tblBorders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340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① 时域采样</w:t>
            </w:r>
          </w:p>
        </w:tc>
        <w:tc>
          <w:tcPr>
            <w:tcW w:type="dxa" w:w="1134"/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28"/>
              </w:rPr>
              <w:t>→</w:t>
            </w:r>
          </w:p>
        </w:tc>
        <w:tc>
          <w:tcPr>
            <w:tcW w:type="dxa" w:w="340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离散信号 x(n)</w:t>
            </w:r>
          </w:p>
        </w:tc>
      </w:tr>
    </w:tbl>
    <w:p>
      <w:pPr>
        <w:spacing w:before="40" w:after="40"/>
        <w:ind w:firstLine="0"/>
        <w:jc w:val="center"/>
      </w:pPr>
      <w:r>
        <w:rPr>
          <w:rFonts w:ascii="宋体" w:hAnsi="宋体" w:eastAsia="宋体"/>
          <w:b/>
          <w:sz w:val="32"/>
        </w:rPr>
        <w:t>↓</w:t>
      </w:r>
    </w:p>
    <w:tbl>
      <w:tblPr>
        <w:tblStyle w:val="TableGrid"/>
        <w:tblW w:type="auto" w:w="0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none" w:sz="4" w:space="0" w:color="auto"/>
        </w:tblBorders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340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② 加窗处理</w:t>
            </w:r>
          </w:p>
        </w:tc>
        <w:tc>
          <w:tcPr>
            <w:tcW w:type="dxa" w:w="1134"/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28"/>
              </w:rPr>
              <w:t>→</w:t>
            </w:r>
          </w:p>
        </w:tc>
        <w:tc>
          <w:tcPr>
            <w:tcW w:type="dxa" w:w="340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加窗信号</w:t>
            </w:r>
          </w:p>
        </w:tc>
      </w:tr>
    </w:tbl>
    <w:p>
      <w:pPr>
        <w:spacing w:before="40" w:after="40"/>
        <w:ind w:firstLine="0"/>
        <w:jc w:val="center"/>
      </w:pPr>
      <w:r>
        <w:rPr>
          <w:rFonts w:ascii="宋体" w:hAnsi="宋体" w:eastAsia="宋体"/>
          <w:b/>
          <w:sz w:val="32"/>
        </w:rPr>
        <w:t>↓</w:t>
      </w:r>
    </w:p>
    <w:tbl>
      <w:tblPr>
        <w:tblStyle w:val="TableGrid"/>
        <w:tblW w:type="auto" w:w="0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none" w:sz="4" w:space="0" w:color="auto"/>
        </w:tblBorders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3402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③ 离散傅里叶变换</w:t>
            </w:r>
          </w:p>
        </w:tc>
        <w:tc>
          <w:tcPr>
            <w:tcW w:type="dxa" w:w="1134"/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28"/>
              </w:rPr>
              <w:t>→</w:t>
            </w:r>
          </w:p>
        </w:tc>
        <w:tc>
          <w:tcPr>
            <w:tcW w:type="dxa" w:w="340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频谱 X(k)</w:t>
            </w:r>
          </w:p>
        </w:tc>
      </w:tr>
    </w:tbl>
    <w:p>
      <w:pPr>
        <w:spacing w:before="40" w:after="40"/>
        <w:ind w:firstLine="0"/>
        <w:jc w:val="center"/>
      </w:pPr>
      <w:r>
        <w:rPr>
          <w:rFonts w:ascii="宋体" w:hAnsi="宋体" w:eastAsia="宋体"/>
          <w:b/>
          <w:sz w:val="32"/>
        </w:rPr>
        <w:t>↓</w:t>
      </w:r>
    </w:p>
    <w:tbl>
      <w:tblPr>
        <w:tblStyle w:val="TableGrid"/>
        <w:tblW w:type="auto" w:w="0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none" w:sz="4" w:space="0" w:color="auto"/>
        </w:tblBorders>
        <w:tblLayout w:type="fixed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3402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④ 频谱分析</w:t>
            </w:r>
          </w:p>
        </w:tc>
        <w:tc>
          <w:tcPr>
            <w:tcW w:type="dxa" w:w="1134"/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28"/>
              </w:rPr>
              <w:t>→</w:t>
            </w:r>
          </w:p>
        </w:tc>
        <w:tc>
          <w:tcPr>
            <w:tcW w:type="dxa" w:w="340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特征向量</w:t>
            </w:r>
          </w:p>
        </w:tc>
      </w:tr>
    </w:tbl>
    <w:p>
      <w:pPr>
        <w:spacing w:before="40" w:after="40"/>
        <w:ind w:firstLine="0"/>
        <w:jc w:val="center"/>
      </w:pPr>
      <w:r>
        <w:rPr>
          <w:rFonts w:ascii="宋体" w:hAnsi="宋体" w:eastAsia="宋体"/>
          <w:b/>
          <w:sz w:val="32"/>
        </w:rPr>
        <w:t>↓</w:t>
      </w:r>
    </w:p>
    <w:p>
      <w:pPr>
        <w:spacing w:before="160" w:after="160"/>
        <w:ind w:firstLine="0"/>
        <w:jc w:val="center"/>
      </w:pPr>
      <w:r>
        <w:rPr>
          <w:rFonts w:ascii="宋体" w:hAnsi="宋体" w:eastAsia="宋体"/>
          <w:b w:val="0"/>
          <w:sz w:val="21"/>
        </w:rPr>
        <w:t>----- 信号预处理止于此处，后续由分类器承接 -----</w:t>
      </w:r>
    </w:p>
    <w:p>
      <w:pPr>
        <w:spacing w:before="40" w:after="40"/>
        <w:ind w:firstLine="0"/>
        <w:jc w:val="center"/>
      </w:pPr>
      <w:r>
        <w:rPr>
          <w:rFonts w:ascii="宋体" w:hAnsi="宋体" w:eastAsia="宋体"/>
          <w:b/>
          <w:sz w:val="32"/>
        </w:rPr>
        <w:t>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34"/>
      </w:tblGrid>
      <w:tr>
        <w:tc>
          <w:tcPr>
            <w:tcW w:type="dxa" w:w="7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分类决策：特征归一化 / 模式匹配 / 结果输出</w:t>
            </w:r>
          </w:p>
        </w:tc>
      </w:tr>
    </w:tbl>
    <w:p>
      <w:pPr>
        <w:spacing w:before="120" w:after="240"/>
        <w:ind w:firstLine="0"/>
        <w:jc w:val="center"/>
      </w:pPr>
      <w:r>
        <w:rPr>
          <w:rFonts w:ascii="宋体" w:hAnsi="宋体" w:eastAsia="宋体"/>
          <w:b/>
          <w:sz w:val="21"/>
        </w:rPr>
        <w:t>图3</w:t>
      </w:r>
      <w:r>
        <w:rPr>
          <w:rFonts w:ascii="宋体" w:hAnsi="宋体" w:eastAsia="宋体"/>
          <w:b w:val="0"/>
          <w:sz w:val="21"/>
        </w:rPr>
        <w:t xml:space="preserve">　</w:t>
      </w:r>
      <w:r>
        <w:rPr>
          <w:rFonts w:ascii="宋体" w:hAnsi="宋体" w:eastAsia="宋体"/>
          <w:b w:val="0"/>
          <w:sz w:val="21"/>
        </w:rPr>
        <w:t>信号处理与分类流程图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横向箭头行是本技能的特色构件。采用 3 列表格实现，左右等宽并锁定固定布局，箭头恒位于整表几何中心，与两侧文字长短无关；中间竖线融合后左右单元格视觉连通。左右地位相等时不加底纹，层级不同时左灰右白，上图中前两步地位相等为全白，后两步表达从预处理阶段到变换阶段的层级转换。</w:t>
      </w:r>
    </w:p>
    <w:p>
      <w:pPr>
        <w:spacing w:before="240" w:after="120"/>
        <w:ind w:firstLine="0"/>
        <w:jc w:val="center"/>
      </w:pPr>
      <w:r>
        <w:rPr>
          <w:rFonts w:ascii="宋体" w:hAnsi="宋体" w:eastAsia="宋体"/>
          <w:b/>
          <w:sz w:val="21"/>
        </w:rPr>
        <w:t>表4</w:t>
      </w:r>
      <w:r>
        <w:rPr>
          <w:rFonts w:ascii="宋体" w:hAnsi="宋体" w:eastAsia="宋体"/>
          <w:b w:val="0"/>
          <w:sz w:val="21"/>
        </w:rPr>
        <w:t xml:space="preserve">　</w:t>
      </w:r>
      <w:r>
        <w:rPr>
          <w:rFonts w:ascii="宋体" w:hAnsi="宋体" w:eastAsia="宋体"/>
          <w:b w:val="0"/>
          <w:sz w:val="21"/>
        </w:rPr>
        <w:t>流程图构件函数</w:t>
      </w:r>
    </w:p>
    <w:tbl>
      <w:tblPr>
        <w:tblStyle w:val="TableGrid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5783"/>
      </w:tblGrid>
      <w:tr>
        <w:tc>
          <w:tcPr>
            <w:tcW w:type="dxa" w:w="2381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函数</w:t>
            </w:r>
          </w:p>
        </w:tc>
        <w:tc>
          <w:tcPr>
            <w:tcW w:type="dxa" w:w="5783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用途</w:t>
            </w:r>
          </w:p>
        </w:tc>
      </w:tr>
      <w:tr>
        <w:tc>
          <w:tcPr>
            <w:tcW w:type="dxa" w:w="238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add_box</w:t>
            </w:r>
          </w:p>
        </w:tc>
        <w:tc>
          <w:tcPr>
            <w:tcW w:type="dxa" w:w="578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单个居中框</w:t>
            </w:r>
          </w:p>
        </w:tc>
      </w:tr>
      <w:tr>
        <w:tc>
          <w:tcPr>
            <w:tcW w:type="dxa" w:w="238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add_multi_line_box</w:t>
            </w:r>
          </w:p>
        </w:tc>
        <w:tc>
          <w:tcPr>
            <w:tcW w:type="dxa" w:w="578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多行文字框</w:t>
            </w:r>
          </w:p>
        </w:tc>
      </w:tr>
      <w:tr>
        <w:tc>
          <w:tcPr>
            <w:tcW w:type="dxa" w:w="238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add_multi_col_table</w:t>
            </w:r>
          </w:p>
        </w:tc>
        <w:tc>
          <w:tcPr>
            <w:tcW w:type="dxa" w:w="578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并排框行</w:t>
            </w:r>
          </w:p>
        </w:tc>
      </w:tr>
      <w:tr>
        <w:tc>
          <w:tcPr>
            <w:tcW w:type="dxa" w:w="238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add_arrow_down</w:t>
            </w:r>
          </w:p>
        </w:tc>
        <w:tc>
          <w:tcPr>
            <w:tcW w:type="dxa" w:w="578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居中向下箭头，连接上下框</w:t>
            </w:r>
          </w:p>
        </w:tc>
      </w:tr>
      <w:tr>
        <w:tc>
          <w:tcPr>
            <w:tcW w:type="dxa" w:w="238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add_arrow_row</w:t>
            </w:r>
          </w:p>
        </w:tc>
        <w:tc>
          <w:tcPr>
            <w:tcW w:type="dxa" w:w="578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横向箭头行，表达过程到产出的转换</w:t>
            </w:r>
          </w:p>
        </w:tc>
      </w:tr>
      <w:tr>
        <w:tc>
          <w:tcPr>
            <w:tcW w:type="dxa" w:w="238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add_separator_note</w:t>
            </w:r>
          </w:p>
        </w:tc>
        <w:tc>
          <w:tcPr>
            <w:tcW w:type="dxa" w:w="578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居中虚线分隔注释</w:t>
            </w:r>
          </w:p>
        </w:tc>
      </w:tr>
    </w:tbl>
    <w:p>
      <w:pPr>
        <w:pStyle w:val="Heading1"/>
        <w:spacing w:line="360" w:lineRule="auto" w:before="480" w:after="120"/>
        <w:ind w:firstLine="0"/>
        <w:jc w:val="left"/>
      </w:pPr>
      <w:r>
        <w:rPr>
          <w:rFonts w:ascii="Arial" w:hAnsi="Arial" w:eastAsia="黑体"/>
          <w:b/>
          <w:color w:val="000000"/>
          <w:sz w:val="32"/>
        </w:rPr>
        <w:t>九、分层架构图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add_layered_architecture 以表格框图堆叠表达多层架构，全宽层与并列层可混合使用，层间自动插入间隔段落。全宽层与并列层的每个框首行均为加粗名称，col_widths 控制并列框列宽，不传则按默认总宽 14cm 均分。以信号处理系统为例：</w:t>
      </w:r>
    </w:p>
    <w:tbl>
      <w:tblPr>
        <w:tblStyle w:val="TableGrid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8634"/>
      </w:tblGrid>
      <w:tr>
        <w:tc>
          <w:tcPr>
            <w:tcW w:type="dxa" w:w="7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/>
              <w:ind w:firstLine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采集层：传感器阵列 / 信号调理 / 抗混叠滤波</w:t>
            </w:r>
          </w:p>
        </w:tc>
      </w:tr>
    </w:tbl>
    <w:p>
      <w:pPr>
        <w:spacing w:before="0" w:after="0" w:line="240" w:lineRule="auto"/>
        <w:ind w:firstLine="0"/>
      </w:pPr>
      <w:r>
        <w:rPr>
          <w:sz w:val="12"/>
        </w:rPr>
      </w:r>
    </w:p>
    <w:tbl>
      <w:tblPr>
        <w:tblStyle w:val="TableGrid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8634"/>
      </w:tblGrid>
      <w:tr>
        <w:tc>
          <w:tcPr>
            <w:tcW w:type="dxa" w:w="7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/>
              <w:ind w:firstLine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预处理层：去直流 / 滤波 / 加窗</w:t>
            </w:r>
          </w:p>
        </w:tc>
      </w:tr>
    </w:tbl>
    <w:p>
      <w:pPr>
        <w:spacing w:before="0" w:after="0" w:line="240" w:lineRule="auto"/>
        <w:ind w:firstLine="0"/>
      </w:pPr>
      <w:r>
        <w:rPr>
          <w:sz w:val="12"/>
        </w:rPr>
      </w:r>
    </w:p>
    <w:tbl>
      <w:tblPr>
        <w:tblStyle w:val="TableGrid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2835"/>
        <w:gridCol w:w="2835"/>
      </w:tblGrid>
      <w:tr>
        <w:tc>
          <w:tcPr>
            <w:tcW w:type="dxa" w:w="226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after="40"/>
              <w:ind w:firstLine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变换模块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快速傅里叶变换</w:t>
            </w:r>
          </w:p>
        </w:tc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after="40"/>
              <w:ind w:firstLine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分析模块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频带能量 / 谱质心</w:t>
            </w:r>
          </w:p>
        </w:tc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after="40"/>
              <w:ind w:firstLine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决策模块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模式匹配 / 阈值判断</w:t>
            </w:r>
          </w:p>
        </w:tc>
      </w:tr>
    </w:tbl>
    <w:p>
      <w:pPr>
        <w:spacing w:before="0" w:after="0" w:line="240" w:lineRule="auto"/>
        <w:ind w:firstLine="0"/>
      </w:pPr>
      <w:r>
        <w:rPr>
          <w:sz w:val="12"/>
        </w:rPr>
      </w:r>
    </w:p>
    <w:tbl>
      <w:tblPr>
        <w:tblStyle w:val="TableGrid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8634"/>
      </w:tblGrid>
      <w:tr>
        <w:tc>
          <w:tcPr>
            <w:tcW w:type="dxa" w:w="7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/>
              <w:ind w:firstLine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应用层：频谱显示 / 报告输出</w:t>
            </w:r>
          </w:p>
        </w:tc>
      </w:tr>
    </w:tbl>
    <w:p>
      <w:pPr>
        <w:spacing w:before="120" w:after="240"/>
        <w:ind w:firstLine="0"/>
        <w:jc w:val="center"/>
      </w:pPr>
      <w:r>
        <w:rPr>
          <w:rFonts w:ascii="宋体" w:hAnsi="宋体" w:eastAsia="宋体"/>
          <w:b/>
          <w:sz w:val="21"/>
        </w:rPr>
        <w:t>图4</w:t>
      </w:r>
      <w:r>
        <w:rPr>
          <w:rFonts w:ascii="宋体" w:hAnsi="宋体" w:eastAsia="宋体"/>
          <w:b w:val="0"/>
          <w:sz w:val="21"/>
        </w:rPr>
        <w:t xml:space="preserve">　</w:t>
      </w:r>
      <w:r>
        <w:rPr>
          <w:rFonts w:ascii="宋体" w:hAnsi="宋体" w:eastAsia="宋体"/>
          <w:b w:val="0"/>
          <w:sz w:val="21"/>
        </w:rPr>
        <w:t>信号处理系统分层架构</w:t>
      </w:r>
    </w:p>
    <w:p>
      <w:pPr>
        <w:pStyle w:val="Heading1"/>
        <w:spacing w:line="360" w:lineRule="auto" w:before="480" w:after="120"/>
        <w:ind w:firstLine="0"/>
        <w:jc w:val="left"/>
      </w:pPr>
      <w:r>
        <w:rPr>
          <w:rFonts w:ascii="Arial" w:hAnsi="Arial" w:eastAsia="黑体"/>
          <w:b/>
          <w:color w:val="000000"/>
          <w:sz w:val="32"/>
        </w:rPr>
        <w:t>十、图表自动编号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图标题与表标题由内部计数器自动编号，无需手动填写编号。图标题位于图下方，表标题位于表上方，两类编号相互独立。setup_document 自动调用 reset_counters，每次生成文档均从图1与表1开始。add_fig_caption 传入空字符串时生成纯间距段落且不递增编号。add_note 在图下方添加居中斜体图注。本文档中的图与表编号均为自动生成。</w:t>
      </w:r>
    </w:p>
    <w:p>
      <w:pPr>
        <w:pStyle w:val="Heading1"/>
        <w:spacing w:line="360" w:lineRule="auto" w:before="480" w:after="120"/>
        <w:ind w:firstLine="0"/>
        <w:jc w:val="left"/>
      </w:pPr>
      <w:r>
        <w:rPr>
          <w:rFonts w:ascii="Arial" w:hAnsi="Arial" w:eastAsia="黑体"/>
          <w:b/>
          <w:color w:val="000000"/>
          <w:sz w:val="32"/>
        </w:rPr>
        <w:t>十一、代码块与数据表</w:t>
      </w:r>
    </w:p>
    <w:p>
      <w:pPr>
        <w:pStyle w:val="Heading2"/>
        <w:spacing w:line="360" w:lineRule="auto" w:before="240" w:after="120"/>
        <w:ind w:firstLine="0"/>
        <w:jc w:val="left"/>
      </w:pPr>
      <w:r>
        <w:rPr>
          <w:rFonts w:ascii="Arial" w:hAnsi="Arial" w:eastAsia="黑体"/>
          <w:b/>
          <w:color w:val="000000"/>
          <w:sz w:val="24"/>
        </w:rPr>
        <w:t>11.1 代码块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add_code_block 以 Consolas 等宽字体渲染代码内容，默认 9pt，浅灰底纹，无首行缩进，逐行成段：</w:t>
      </w:r>
    </w:p>
    <w:p>
      <w:pPr>
        <w:shd w:val="clear" w:color="auto" w:fill="F2F2F2"/>
        <w:spacing w:line="276" w:lineRule="auto" w:before="0" w:after="0"/>
        <w:ind w:firstLine="0" w:left="360"/>
      </w:pPr>
      <w:r>
        <w:rPr>
          <w:rFonts w:ascii="Consolas" w:hAnsi="Consolas" w:eastAsia="宋体"/>
          <w:sz w:val="18"/>
        </w:rPr>
        <w:t>python validate_docx.py output.docx --verbose</w:t>
      </w:r>
    </w:p>
    <w:p>
      <w:pPr>
        <w:pStyle w:val="Heading2"/>
        <w:spacing w:line="360" w:lineRule="auto" w:before="240" w:after="120"/>
        <w:ind w:firstLine="0"/>
        <w:jc w:val="left"/>
      </w:pPr>
      <w:r>
        <w:rPr>
          <w:rFonts w:ascii="Arial" w:hAnsi="Arial" w:eastAsia="黑体"/>
          <w:b/>
          <w:color w:val="000000"/>
          <w:sz w:val="24"/>
        </w:rPr>
        <w:t>11.2 数据表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add_data_table 生成数据型表格，灰色表头黑体加粗居中，固定列宽，数据行末列左对齐、其余列居中。本文档中各表均为实际渲染效果。</w:t>
      </w:r>
    </w:p>
    <w:p>
      <w:pPr>
        <w:pStyle w:val="Heading2"/>
        <w:spacing w:line="360" w:lineRule="auto" w:before="240" w:after="120"/>
        <w:ind w:firstLine="0"/>
        <w:jc w:val="left"/>
      </w:pPr>
      <w:r>
        <w:rPr>
          <w:rFonts w:ascii="Arial" w:hAnsi="Arial" w:eastAsia="黑体"/>
          <w:b/>
          <w:color w:val="000000"/>
          <w:sz w:val="24"/>
        </w:rPr>
        <w:t>11.3 单元格公式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add_math_to_cell 向表格单元格插入行内 OMML 公式，适用于构建函数与渲染效果对照一类的场景，下表第三列为单元格内原生公式：</w:t>
      </w:r>
    </w:p>
    <w:p>
      <w:pPr>
        <w:spacing w:before="240" w:after="120"/>
        <w:ind w:firstLine="0"/>
        <w:jc w:val="center"/>
      </w:pPr>
      <w:r>
        <w:rPr>
          <w:rFonts w:ascii="宋体" w:hAnsi="宋体" w:eastAsia="宋体"/>
          <w:b/>
          <w:sz w:val="21"/>
        </w:rPr>
        <w:t>表5</w:t>
      </w:r>
      <w:r>
        <w:rPr>
          <w:rFonts w:ascii="宋体" w:hAnsi="宋体" w:eastAsia="宋体"/>
          <w:b w:val="0"/>
          <w:sz w:val="21"/>
        </w:rPr>
        <w:t xml:space="preserve">　</w:t>
      </w:r>
      <w:r>
        <w:rPr>
          <w:rFonts w:ascii="宋体" w:hAnsi="宋体" w:eastAsia="宋体"/>
          <w:b w:val="0"/>
          <w:sz w:val="21"/>
        </w:rPr>
        <w:t>公式构建函数与渲染效果对照</w:t>
      </w:r>
    </w:p>
    <w:tbl>
      <w:tblPr>
        <w:tblStyle w:val="TableGrid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2835"/>
        <w:gridCol w:w="3855"/>
      </w:tblGrid>
      <w:tr>
        <w:tc>
          <w:tcPr>
            <w:tcW w:type="dxa" w:w="1474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构建函数</w:t>
            </w:r>
          </w:p>
        </w:tc>
        <w:tc>
          <w:tcPr>
            <w:tcW w:type="dxa" w:w="2835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调用形式</w:t>
            </w:r>
          </w:p>
        </w:tc>
        <w:tc>
          <w:tcPr>
            <w:tcW w:type="dxa" w:w="3855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渲染效果</w:t>
            </w:r>
          </w:p>
        </w:tc>
      </w:tr>
      <w:tr>
        <w:tc>
          <w:tcPr>
            <w:tcW w:type="dxa" w:w="147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下标</w:t>
            </w:r>
          </w:p>
        </w:tc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sub a k</w:t>
            </w:r>
          </w:p>
        </w:tc>
        <w:tc>
          <w:tcPr>
            <w:tcW w:type="dxa" w:w="385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  <m:oMath>
              <m:sSub>
                <m:sSubPr/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</w:p>
        </w:tc>
      </w:tr>
      <w:tr>
        <w:tc>
          <w:tcPr>
            <w:tcW w:type="dxa" w:w="147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上标</w:t>
            </w:r>
          </w:p>
        </w:tc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sup x 2</w:t>
            </w:r>
          </w:p>
        </w:tc>
        <w:tc>
          <w:tcPr>
            <w:tcW w:type="dxa" w:w="385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  <m:oMath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>
            <w:tcW w:type="dxa" w:w="147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分式</w:t>
            </w:r>
          </w:p>
        </w:tc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frac η N</w:t>
            </w:r>
          </w:p>
        </w:tc>
        <w:tc>
          <w:tcPr>
            <w:tcW w:type="dxa" w:w="385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  <m:oMath>
              <m:f>
                <m:num>
                  <m:r>
                    <m:t>η</m:t>
                  </m:r>
                </m:num>
                <m:den>
                  <m:r>
                    <m:t>N</m:t>
                  </m:r>
                </m:den>
              </m:f>
            </m:oMath>
          </w:p>
        </w:tc>
      </w:tr>
      <w:tr>
        <w:tc>
          <w:tcPr>
            <w:tcW w:type="dxa" w:w="147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求和</w:t>
            </w:r>
          </w:p>
        </w:tc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sumOp Σ</w:t>
            </w:r>
          </w:p>
        </w:tc>
        <w:tc>
          <w:tcPr>
            <w:tcW w:type="dxa" w:w="385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  <m:oMath>
              <m:sSub>
                <m:sSubPr/>
                <m:e>
                  <m:r>
                    <m:t>∑</m:t>
                  </m:r>
                </m:e>
                <m:sub>
                  <m:r>
                    <m:t>k</m:t>
                  </m:r>
                </m:sub>
              </m:sSub>
              <m:sSub>
                <m:sSubPr/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</w:p>
        </w:tc>
      </w:tr>
    </w:tbl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辅助函数 set_table_border 与 set_cell_shading 分别控制表格边框与单元格底纹。</w:t>
      </w:r>
    </w:p>
    <w:p>
      <w:pPr>
        <w:pStyle w:val="Heading1"/>
        <w:spacing w:line="360" w:lineRule="auto" w:before="480" w:after="120"/>
        <w:ind w:firstLine="0"/>
        <w:jc w:val="left"/>
      </w:pPr>
      <w:r>
        <w:rPr>
          <w:rFonts w:ascii="Arial" w:hAnsi="Arial" w:eastAsia="黑体"/>
          <w:b/>
          <w:color w:val="000000"/>
          <w:sz w:val="32"/>
        </w:rPr>
        <w:t>十二、目录生成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目录按需生成，默认不插入。标题函数使用 Word 内置 Heading 样式，add_toc 在文档标题后、正文前插入目录域，在 Word 中按住 Ctrl 并点击条目可跳转至对应标题。目录标题黑体三号居中，一级条目黑体四号，二级条目宋体小四，行距固定 22pt，样式对齐 NJUThesis 模板。默认层级为 1 到 2 级，文档主标题不进入目录。目录条目默认在 Word 打开文档时提示更新域并生成，由文档设置中的 w:updateFields 开关实现；传入 auto_update=False 可关闭该行为，改为在目录上右键选择更新域手动生成。目录后自动分页。本文档开头的目录即为实际效果。</w:t>
      </w:r>
    </w:p>
    <w:p>
      <w:pPr>
        <w:pStyle w:val="Heading1"/>
        <w:spacing w:line="360" w:lineRule="auto" w:before="480" w:after="120"/>
        <w:ind w:firstLine="0"/>
        <w:jc w:val="left"/>
      </w:pPr>
      <w:r>
        <w:rPr>
          <w:rFonts w:ascii="Arial" w:hAnsi="Arial" w:eastAsia="黑体"/>
          <w:b/>
          <w:color w:val="000000"/>
          <w:sz w:val="32"/>
        </w:rPr>
        <w:t>十三、轻量文档验证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validate_docx.py 基于纯 Python 标准库实现，无外部依赖，在文档生成后执行 5 项结构检查，全部通过时退出码为 0，否则为 1：</w:t>
      </w:r>
    </w:p>
    <w:p>
      <w:pPr>
        <w:spacing w:before="240" w:after="120"/>
        <w:ind w:firstLine="0"/>
        <w:jc w:val="center"/>
      </w:pPr>
      <w:r>
        <w:rPr>
          <w:rFonts w:ascii="宋体" w:hAnsi="宋体" w:eastAsia="宋体"/>
          <w:b/>
          <w:sz w:val="21"/>
        </w:rPr>
        <w:t>表6</w:t>
      </w:r>
      <w:r>
        <w:rPr>
          <w:rFonts w:ascii="宋体" w:hAnsi="宋体" w:eastAsia="宋体"/>
          <w:b w:val="0"/>
          <w:sz w:val="21"/>
        </w:rPr>
        <w:t xml:space="preserve">　</w:t>
      </w:r>
      <w:r>
        <w:rPr>
          <w:rFonts w:ascii="宋体" w:hAnsi="宋体" w:eastAsia="宋体"/>
          <w:b w:val="0"/>
          <w:sz w:val="21"/>
        </w:rPr>
        <w:t>轻量验证检查项</w:t>
      </w:r>
    </w:p>
    <w:tbl>
      <w:tblPr>
        <w:tblStyle w:val="TableGrid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041"/>
        <w:gridCol w:w="6123"/>
      </w:tblGrid>
      <w:tr>
        <w:tc>
          <w:tcPr>
            <w:tcW w:type="dxa" w:w="2041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检查项</w:t>
            </w:r>
          </w:p>
        </w:tc>
        <w:tc>
          <w:tcPr>
            <w:tcW w:type="dxa" w:w="6123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ZIP 完整性</w:t>
            </w:r>
          </w:p>
        </w:tc>
        <w:tc>
          <w:tcPr>
            <w:tcW w:type="dxa" w:w="612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所有 ZIP 条目均可解压</w:t>
            </w:r>
          </w:p>
        </w:tc>
      </w:tr>
      <w:tr>
        <w:tc>
          <w:tcPr>
            <w:tcW w:type="dxa" w:w="204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XML 格式良好性</w:t>
            </w:r>
          </w:p>
        </w:tc>
        <w:tc>
          <w:tcPr>
            <w:tcW w:type="dxa" w:w="612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所有 XML 与关系文件可被解析</w:t>
            </w:r>
          </w:p>
        </w:tc>
      </w:tr>
      <w:tr>
        <w:tc>
          <w:tcPr>
            <w:tcW w:type="dxa" w:w="204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文件引用完整性</w:t>
            </w:r>
          </w:p>
        </w:tc>
        <w:tc>
          <w:tcPr>
            <w:tcW w:type="dxa" w:w="612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关系文件中每个目标在包内存在</w:t>
            </w:r>
          </w:p>
        </w:tc>
      </w:tr>
      <w:tr>
        <w:tc>
          <w:tcPr>
            <w:tcW w:type="dxa" w:w="204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内容类型声明</w:t>
            </w:r>
          </w:p>
        </w:tc>
        <w:tc>
          <w:tcPr>
            <w:tcW w:type="dxa" w:w="612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包内 XML 文件均有内容类型声明</w:t>
            </w:r>
          </w:p>
        </w:tc>
      </w:tr>
      <w:tr>
        <w:tc>
          <w:tcPr>
            <w:tcW w:type="dxa" w:w="204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空白保留</w:t>
            </w:r>
          </w:p>
        </w:tc>
        <w:tc>
          <w:tcPr>
            <w:tcW w:type="dxa" w:w="612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含首尾空白的文本节点均带保留属性</w:t>
            </w:r>
          </w:p>
        </w:tc>
      </w:tr>
    </w:tbl>
    <w:p>
      <w:pPr>
        <w:shd w:val="clear" w:color="auto" w:fill="F2F2F2"/>
        <w:spacing w:line="276" w:lineRule="auto" w:before="0" w:after="0"/>
        <w:ind w:firstLine="0" w:left="360"/>
      </w:pPr>
      <w:r>
        <w:rPr>
          <w:rFonts w:ascii="Consolas" w:hAnsi="Consolas" w:eastAsia="宋体"/>
          <w:sz w:val="18"/>
        </w:rPr>
        <w:t>python validate_docx.py output.docx --verbose</w:t>
      </w:r>
    </w:p>
    <w:p>
      <w:pPr>
        <w:pStyle w:val="Heading1"/>
        <w:spacing w:line="360" w:lineRule="auto" w:before="480" w:after="120"/>
        <w:ind w:firstLine="0"/>
        <w:jc w:val="left"/>
      </w:pPr>
      <w:r>
        <w:rPr>
          <w:rFonts w:ascii="Arial" w:hAnsi="Arial" w:eastAsia="黑体"/>
          <w:b/>
          <w:color w:val="000000"/>
          <w:sz w:val="32"/>
        </w:rPr>
        <w:t>十四、安全解压与重打包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safe_extract 在解压 .docx 时拒绝符号链接并校验路径边界，防止路径遍历攻击；rezip 将目录重新打包为 .docx，确保 [Content_Types].xml 首位存储并原子写入目标文件。二者构成编辑现有文档的安全基础。</w:t>
      </w:r>
    </w:p>
    <w:p>
      <w:pPr>
        <w:pStyle w:val="Heading1"/>
        <w:spacing w:line="360" w:lineRule="auto" w:before="480" w:after="120"/>
        <w:ind w:firstLine="0"/>
        <w:jc w:val="left"/>
      </w:pPr>
      <w:r>
        <w:rPr>
          <w:rFonts w:ascii="Arial" w:hAnsi="Arial" w:eastAsia="黑体"/>
          <w:b/>
          <w:color w:val="000000"/>
          <w:sz w:val="32"/>
        </w:rPr>
        <w:t>十五、可选模块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以下模块默认不启用、不检查环境、不安装依赖，仅当明确要求对应功能时使用。</w:t>
      </w:r>
    </w:p>
    <w:p>
      <w:pPr>
        <w:pStyle w:val="Heading2"/>
        <w:spacing w:line="360" w:lineRule="auto" w:before="240" w:after="120"/>
        <w:ind w:firstLine="0"/>
        <w:jc w:val="left"/>
      </w:pPr>
      <w:r>
        <w:rPr>
          <w:rFonts w:ascii="Arial" w:hAnsi="Arial" w:eastAsia="黑体"/>
          <w:b/>
          <w:color w:val="000000"/>
          <w:sz w:val="24"/>
        </w:rPr>
        <w:t>15.1 PDF 渲染验证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将生成的 .docx 转换为 PDF 进行视觉检查，依赖 LibreOffice：</w:t>
      </w:r>
    </w:p>
    <w:p>
      <w:pPr>
        <w:shd w:val="clear" w:color="auto" w:fill="F2F2F2"/>
        <w:spacing w:line="276" w:lineRule="auto" w:before="0" w:after="0"/>
        <w:ind w:firstLine="0" w:left="360"/>
      </w:pPr>
      <w:r>
        <w:rPr>
          <w:rFonts w:ascii="Consolas" w:hAnsi="Consolas" w:eastAsia="宋体"/>
          <w:sz w:val="18"/>
        </w:rPr>
        <w:t>python scripts/optional/office/soffice.py convert output.docx --outdir ./pdf_out</w:t>
      </w:r>
    </w:p>
    <w:p>
      <w:pPr>
        <w:pStyle w:val="Heading2"/>
        <w:spacing w:line="360" w:lineRule="auto" w:before="240" w:after="120"/>
        <w:ind w:firstLine="0"/>
        <w:jc w:val="left"/>
      </w:pPr>
      <w:r>
        <w:rPr>
          <w:rFonts w:ascii="Arial" w:hAnsi="Arial" w:eastAsia="黑体"/>
          <w:b/>
          <w:color w:val="000000"/>
          <w:sz w:val="24"/>
        </w:rPr>
        <w:t>15.2 XSD 模式验证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对 .docx 内的 XML 部件执行 OOXML 模式深度验证，比轻量验证更严格，依赖 lxml：</w:t>
      </w:r>
    </w:p>
    <w:p>
      <w:pPr>
        <w:shd w:val="clear" w:color="auto" w:fill="F2F2F2"/>
        <w:spacing w:line="276" w:lineRule="auto" w:before="0" w:after="0"/>
        <w:ind w:firstLine="0" w:left="360"/>
      </w:pPr>
      <w:r>
        <w:rPr>
          <w:rFonts w:ascii="Consolas" w:hAnsi="Consolas" w:eastAsia="宋体"/>
          <w:sz w:val="18"/>
        </w:rPr>
        <w:t>python scripts/optional/office/validate.py output.docx</w:t>
      </w:r>
    </w:p>
    <w:p>
      <w:pPr>
        <w:pStyle w:val="Heading2"/>
        <w:spacing w:line="360" w:lineRule="auto" w:before="240" w:after="120"/>
        <w:ind w:firstLine="0"/>
        <w:jc w:val="left"/>
      </w:pPr>
      <w:r>
        <w:rPr>
          <w:rFonts w:ascii="Arial" w:hAnsi="Arial" w:eastAsia="黑体"/>
          <w:b/>
          <w:color w:val="000000"/>
          <w:sz w:val="24"/>
        </w:rPr>
        <w:t>15.3 编辑现有文档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修改已有 .docx 文件内容，工作流为安全解压、合并碎片 run、编辑 XML、重新打包、验证。</w:t>
      </w:r>
    </w:p>
    <w:p>
      <w:pPr>
        <w:pStyle w:val="Heading2"/>
        <w:spacing w:line="360" w:lineRule="auto" w:before="240" w:after="120"/>
        <w:ind w:firstLine="0"/>
        <w:jc w:val="left"/>
      </w:pPr>
      <w:r>
        <w:rPr>
          <w:rFonts w:ascii="Arial" w:hAnsi="Arial" w:eastAsia="黑体"/>
          <w:b/>
          <w:color w:val="000000"/>
          <w:sz w:val="24"/>
        </w:rPr>
        <w:t>15.4 追踪修订与批注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accept_changes.py 通过 LibreOffice 宏接受文档中的所有追踪修订；comment.py 管理批注，维护 6 个批注相关文件的交叉链接系统，批注 XML 模板位于 scripts/optional/templates。</w:t>
      </w:r>
    </w:p>
    <w:p>
      <w:pPr>
        <w:pStyle w:val="Heading1"/>
        <w:spacing w:line="360" w:lineRule="auto" w:before="480" w:after="120"/>
        <w:ind w:firstLine="0"/>
        <w:jc w:val="left"/>
      </w:pPr>
      <w:r>
        <w:rPr>
          <w:rFonts w:ascii="Arial" w:hAnsi="Arial" w:eastAsia="黑体"/>
          <w:b/>
          <w:color w:val="000000"/>
          <w:sz w:val="32"/>
        </w:rPr>
        <w:t>十六、排版标准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页面为 A4 纸张，页边距上下 2.54cm、左右 3.18cm，正文行距 1.5 倍。页脚居中放置页码，五号 Times New Roman，由 PAGE 域自动编号。中西文字体分离：正文西文用 Times New Roman 衬线体，标题西文用 Arial 无衬线体。间距体系对齐 NJUThesis LaTeX 模板与北京大学研究生学位论文写作指南，NJUThesis 全局行距倍数为 1.625，与 Word 1.5 倍行距的视觉效果一致。</w:t>
      </w:r>
    </w:p>
    <w:p>
      <w:pPr>
        <w:spacing w:before="240" w:after="120"/>
        <w:ind w:firstLine="0"/>
        <w:jc w:val="center"/>
      </w:pPr>
      <w:r>
        <w:rPr>
          <w:rFonts w:ascii="宋体" w:hAnsi="宋体" w:eastAsia="宋体"/>
          <w:b/>
          <w:sz w:val="21"/>
        </w:rPr>
        <w:t>表7</w:t>
      </w:r>
      <w:r>
        <w:rPr>
          <w:rFonts w:ascii="宋体" w:hAnsi="宋体" w:eastAsia="宋体"/>
          <w:b w:val="0"/>
          <w:sz w:val="21"/>
        </w:rPr>
        <w:t xml:space="preserve">　</w:t>
      </w:r>
      <w:r>
        <w:rPr>
          <w:rFonts w:ascii="宋体" w:hAnsi="宋体" w:eastAsia="宋体"/>
          <w:b w:val="0"/>
          <w:sz w:val="21"/>
        </w:rPr>
        <w:t>排版标准</w:t>
      </w:r>
    </w:p>
    <w:tbl>
      <w:tblPr>
        <w:tblStyle w:val="TableGrid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134"/>
        <w:gridCol w:w="1134"/>
        <w:gridCol w:w="1247"/>
        <w:gridCol w:w="2835"/>
        <w:gridCol w:w="907"/>
        <w:gridCol w:w="907"/>
      </w:tblGrid>
      <w:tr>
        <w:tc>
          <w:tcPr>
            <w:tcW w:type="dxa" w:w="1134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元素</w:t>
            </w:r>
          </w:p>
        </w:tc>
        <w:tc>
          <w:tcPr>
            <w:tcW w:type="dxa" w:w="1134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字体</w:t>
            </w:r>
          </w:p>
        </w:tc>
        <w:tc>
          <w:tcPr>
            <w:tcW w:type="dxa" w:w="1247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字号</w:t>
            </w:r>
          </w:p>
        </w:tc>
        <w:tc>
          <w:tcPr>
            <w:tcW w:type="dxa" w:w="2835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样式</w:t>
            </w:r>
          </w:p>
        </w:tc>
        <w:tc>
          <w:tcPr>
            <w:tcW w:type="dxa" w:w="907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段前</w:t>
            </w:r>
          </w:p>
        </w:tc>
        <w:tc>
          <w:tcPr>
            <w:tcW w:type="dxa" w:w="907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段后</w:t>
            </w:r>
          </w:p>
        </w:tc>
      </w:tr>
      <w:tr>
        <w:tc>
          <w:tcPr>
            <w:tcW w:type="dxa" w:w="113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文档标题</w:t>
            </w:r>
          </w:p>
        </w:tc>
        <w:tc>
          <w:tcPr>
            <w:tcW w:type="dxa" w:w="113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黑体</w:t>
            </w:r>
          </w:p>
        </w:tc>
        <w:tc>
          <w:tcPr>
            <w:tcW w:type="dxa" w:w="124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一号 26pt</w:t>
            </w:r>
          </w:p>
        </w:tc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加粗居中</w:t>
            </w:r>
          </w:p>
        </w:tc>
        <w:tc>
          <w:tcPr>
            <w:tcW w:type="dxa" w:w="90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24pt</w:t>
            </w:r>
          </w:p>
        </w:tc>
        <w:tc>
          <w:tcPr>
            <w:tcW w:type="dxa" w:w="90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18pt</w:t>
            </w:r>
          </w:p>
        </w:tc>
      </w:tr>
      <w:tr>
        <w:tc>
          <w:tcPr>
            <w:tcW w:type="dxa" w:w="113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一级标题</w:t>
            </w:r>
          </w:p>
        </w:tc>
        <w:tc>
          <w:tcPr>
            <w:tcW w:type="dxa" w:w="113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黑体</w:t>
            </w:r>
          </w:p>
        </w:tc>
        <w:tc>
          <w:tcPr>
            <w:tcW w:type="dxa" w:w="124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三号 16pt</w:t>
            </w:r>
          </w:p>
        </w:tc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加粗左对齐</w:t>
            </w:r>
          </w:p>
        </w:tc>
        <w:tc>
          <w:tcPr>
            <w:tcW w:type="dxa" w:w="90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24pt</w:t>
            </w:r>
          </w:p>
        </w:tc>
        <w:tc>
          <w:tcPr>
            <w:tcW w:type="dxa" w:w="90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6pt</w:t>
            </w:r>
          </w:p>
        </w:tc>
      </w:tr>
      <w:tr>
        <w:tc>
          <w:tcPr>
            <w:tcW w:type="dxa" w:w="113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二级标题</w:t>
            </w:r>
          </w:p>
        </w:tc>
        <w:tc>
          <w:tcPr>
            <w:tcW w:type="dxa" w:w="113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黑体</w:t>
            </w:r>
          </w:p>
        </w:tc>
        <w:tc>
          <w:tcPr>
            <w:tcW w:type="dxa" w:w="124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小四 12pt</w:t>
            </w:r>
          </w:p>
        </w:tc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加粗左对齐</w:t>
            </w:r>
          </w:p>
        </w:tc>
        <w:tc>
          <w:tcPr>
            <w:tcW w:type="dxa" w:w="90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12pt</w:t>
            </w:r>
          </w:p>
        </w:tc>
        <w:tc>
          <w:tcPr>
            <w:tcW w:type="dxa" w:w="90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6pt</w:t>
            </w:r>
          </w:p>
        </w:tc>
      </w:tr>
      <w:tr>
        <w:tc>
          <w:tcPr>
            <w:tcW w:type="dxa" w:w="113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三级标题</w:t>
            </w:r>
          </w:p>
        </w:tc>
        <w:tc>
          <w:tcPr>
            <w:tcW w:type="dxa" w:w="113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黑体</w:t>
            </w:r>
          </w:p>
        </w:tc>
        <w:tc>
          <w:tcPr>
            <w:tcW w:type="dxa" w:w="124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小四 12pt</w:t>
            </w:r>
          </w:p>
        </w:tc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加粗左对齐</w:t>
            </w:r>
          </w:p>
        </w:tc>
        <w:tc>
          <w:tcPr>
            <w:tcW w:type="dxa" w:w="90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12pt</w:t>
            </w:r>
          </w:p>
        </w:tc>
        <w:tc>
          <w:tcPr>
            <w:tcW w:type="dxa" w:w="90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6pt</w:t>
            </w:r>
          </w:p>
        </w:tc>
      </w:tr>
      <w:tr>
        <w:tc>
          <w:tcPr>
            <w:tcW w:type="dxa" w:w="113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正文</w:t>
            </w:r>
          </w:p>
        </w:tc>
        <w:tc>
          <w:tcPr>
            <w:tcW w:type="dxa" w:w="113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宋体</w:t>
            </w:r>
          </w:p>
        </w:tc>
        <w:tc>
          <w:tcPr>
            <w:tcW w:type="dxa" w:w="124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小四 12pt</w:t>
            </w:r>
          </w:p>
        </w:tc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两端对齐，首行缩进 2 字符</w:t>
            </w:r>
          </w:p>
        </w:tc>
        <w:tc>
          <w:tcPr>
            <w:tcW w:type="dxa" w:w="90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90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7pt</w:t>
            </w:r>
          </w:p>
        </w:tc>
      </w:tr>
      <w:tr>
        <w:tc>
          <w:tcPr>
            <w:tcW w:type="dxa" w:w="113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分点段落</w:t>
            </w:r>
          </w:p>
        </w:tc>
        <w:tc>
          <w:tcPr>
            <w:tcW w:type="dxa" w:w="113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宋体</w:t>
            </w:r>
          </w:p>
        </w:tc>
        <w:tc>
          <w:tcPr>
            <w:tcW w:type="dxa" w:w="124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小四 12pt</w:t>
            </w:r>
          </w:p>
        </w:tc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加粗标签加正文</w:t>
            </w:r>
          </w:p>
        </w:tc>
        <w:tc>
          <w:tcPr>
            <w:tcW w:type="dxa" w:w="90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90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7pt</w:t>
            </w:r>
          </w:p>
        </w:tc>
      </w:tr>
      <w:tr>
        <w:tc>
          <w:tcPr>
            <w:tcW w:type="dxa" w:w="113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块级公式</w:t>
            </w:r>
          </w:p>
        </w:tc>
        <w:tc>
          <w:tcPr>
            <w:tcW w:type="dxa" w:w="113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24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居中</w:t>
            </w:r>
          </w:p>
        </w:tc>
        <w:tc>
          <w:tcPr>
            <w:tcW w:type="dxa" w:w="90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6pt</w:t>
            </w:r>
          </w:p>
        </w:tc>
        <w:tc>
          <w:tcPr>
            <w:tcW w:type="dxa" w:w="90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6pt</w:t>
            </w:r>
          </w:p>
        </w:tc>
      </w:tr>
      <w:tr>
        <w:tc>
          <w:tcPr>
            <w:tcW w:type="dxa" w:w="113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图标题</w:t>
            </w:r>
          </w:p>
        </w:tc>
        <w:tc>
          <w:tcPr>
            <w:tcW w:type="dxa" w:w="113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宋体</w:t>
            </w:r>
          </w:p>
        </w:tc>
        <w:tc>
          <w:tcPr>
            <w:tcW w:type="dxa" w:w="124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五号 10.5pt</w:t>
            </w:r>
          </w:p>
        </w:tc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标签加粗，全角空格分隔，居中，位于图下方</w:t>
            </w:r>
          </w:p>
        </w:tc>
        <w:tc>
          <w:tcPr>
            <w:tcW w:type="dxa" w:w="90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6pt</w:t>
            </w:r>
          </w:p>
        </w:tc>
        <w:tc>
          <w:tcPr>
            <w:tcW w:type="dxa" w:w="90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12pt</w:t>
            </w:r>
          </w:p>
        </w:tc>
      </w:tr>
      <w:tr>
        <w:tc>
          <w:tcPr>
            <w:tcW w:type="dxa" w:w="113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表标题</w:t>
            </w:r>
          </w:p>
        </w:tc>
        <w:tc>
          <w:tcPr>
            <w:tcW w:type="dxa" w:w="113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宋体</w:t>
            </w:r>
          </w:p>
        </w:tc>
        <w:tc>
          <w:tcPr>
            <w:tcW w:type="dxa" w:w="124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五号 10.5pt</w:t>
            </w:r>
          </w:p>
        </w:tc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标签加粗，全角空格分隔，居中，位于表上方</w:t>
            </w:r>
          </w:p>
        </w:tc>
        <w:tc>
          <w:tcPr>
            <w:tcW w:type="dxa" w:w="90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12pt</w:t>
            </w:r>
          </w:p>
        </w:tc>
        <w:tc>
          <w:tcPr>
            <w:tcW w:type="dxa" w:w="90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6pt</w:t>
            </w:r>
          </w:p>
        </w:tc>
      </w:tr>
      <w:tr>
        <w:tc>
          <w:tcPr>
            <w:tcW w:type="dxa" w:w="113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目录条目</w:t>
            </w:r>
          </w:p>
        </w:tc>
        <w:tc>
          <w:tcPr>
            <w:tcW w:type="dxa" w:w="113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黑体或宋体</w:t>
            </w:r>
          </w:p>
        </w:tc>
        <w:tc>
          <w:tcPr>
            <w:tcW w:type="dxa" w:w="124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四号或小四</w:t>
            </w:r>
          </w:p>
        </w:tc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固定行距 22pt</w:t>
            </w:r>
          </w:p>
        </w:tc>
        <w:tc>
          <w:tcPr>
            <w:tcW w:type="dxa" w:w="90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90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</w:tr>
    </w:tbl>
    <w:p>
      <w:pPr>
        <w:pStyle w:val="Heading1"/>
        <w:spacing w:line="360" w:lineRule="auto" w:before="480" w:after="120"/>
        <w:ind w:firstLine="0"/>
        <w:jc w:val="left"/>
      </w:pPr>
      <w:r>
        <w:rPr>
          <w:rFonts w:ascii="Arial" w:hAnsi="Arial" w:eastAsia="黑体"/>
          <w:b/>
          <w:color w:val="000000"/>
          <w:sz w:val="32"/>
        </w:rPr>
        <w:t>十七、环境要求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必需依赖仅两项，Python 3.8 以上版本与 python-docx。可选依赖按需安装：LibreOffice 用于 PDF 渲染验证与接受追踪修订，lxml 用于 XSD 模式验证，Poppler 的 pdftoppm 用于 PDF 转图片检查，pandoc 用于读取现有文档内容。</w:t>
      </w:r>
    </w:p>
    <w:p>
      <w:pPr>
        <w:shd w:val="clear" w:color="auto" w:fill="F2F2F2"/>
        <w:spacing w:line="276" w:lineRule="auto" w:before="0" w:after="0"/>
        <w:ind w:firstLine="0" w:left="360"/>
      </w:pPr>
      <w:r>
        <w:rPr>
          <w:rFonts w:ascii="Consolas" w:hAnsi="Consolas" w:eastAsia="宋体"/>
          <w:sz w:val="18"/>
        </w:rPr>
        <w:t>pip install python-docx</w:t>
      </w:r>
    </w:p>
    <w:p>
      <w:pPr>
        <w:pStyle w:val="Heading1"/>
        <w:spacing w:line="360" w:lineRule="auto" w:before="480" w:after="120"/>
        <w:ind w:firstLine="0"/>
        <w:jc w:val="left"/>
      </w:pPr>
      <w:r>
        <w:rPr>
          <w:rFonts w:ascii="Arial" w:hAnsi="Arial" w:eastAsia="黑体"/>
          <w:b/>
          <w:color w:val="000000"/>
          <w:sz w:val="32"/>
        </w:rPr>
        <w:t>十八、文件结构</w:t>
      </w:r>
    </w:p>
    <w:p>
      <w:pPr>
        <w:shd w:val="clear" w:color="auto" w:fill="F2F2F2"/>
        <w:spacing w:line="276" w:lineRule="auto" w:before="0" w:after="0"/>
        <w:ind w:firstLine="0" w:left="360"/>
      </w:pPr>
      <w:r>
        <w:rPr>
          <w:rFonts w:ascii="Consolas" w:hAnsi="Consolas" w:eastAsia="宋体"/>
          <w:sz w:val="18"/>
        </w:rPr>
        <w:t>docx-formatter/</w:t>
      </w:r>
    </w:p>
    <w:p>
      <w:pPr>
        <w:shd w:val="clear" w:color="auto" w:fill="F2F2F2"/>
        <w:spacing w:line="276" w:lineRule="auto" w:before="0" w:after="0"/>
        <w:ind w:firstLine="0" w:left="360"/>
      </w:pPr>
      <w:r>
        <w:rPr>
          <w:rFonts w:ascii="Consolas" w:hAnsi="Consolas" w:eastAsia="宋体"/>
          <w:sz w:val="18"/>
        </w:rPr>
        <w:t>├── SKILL.md                    # 技能指令文件</w:t>
      </w:r>
    </w:p>
    <w:p>
      <w:pPr>
        <w:shd w:val="clear" w:color="auto" w:fill="F2F2F2"/>
        <w:spacing w:line="276" w:lineRule="auto" w:before="0" w:after="0"/>
        <w:ind w:firstLine="0" w:left="360"/>
      </w:pPr>
      <w:r>
        <w:rPr>
          <w:rFonts w:ascii="Consolas" w:hAnsi="Consolas" w:eastAsia="宋体"/>
          <w:sz w:val="18"/>
        </w:rPr>
        <w:t>├── README.md                   # 项目说明</w:t>
      </w:r>
    </w:p>
    <w:p>
      <w:pPr>
        <w:shd w:val="clear" w:color="auto" w:fill="F2F2F2"/>
        <w:spacing w:line="276" w:lineRule="auto" w:before="0" w:after="0"/>
        <w:ind w:firstLine="0" w:left="360"/>
      </w:pPr>
      <w:r>
        <w:rPr>
          <w:rFonts w:ascii="Consolas" w:hAnsi="Consolas" w:eastAsia="宋体"/>
          <w:sz w:val="18"/>
        </w:rPr>
        <w:t>├── README.docx                 # 排版效果样例</w:t>
      </w:r>
    </w:p>
    <w:p>
      <w:pPr>
        <w:shd w:val="clear" w:color="auto" w:fill="F2F2F2"/>
        <w:spacing w:line="276" w:lineRule="auto" w:before="0" w:after="0"/>
        <w:ind w:firstLine="0" w:left="360"/>
      </w:pPr>
      <w:r>
        <w:rPr>
          <w:rFonts w:ascii="Consolas" w:hAnsi="Consolas" w:eastAsia="宋体"/>
          <w:sz w:val="18"/>
        </w:rPr>
        <w:t>├── LICENSE</w:t>
      </w:r>
    </w:p>
    <w:p>
      <w:pPr>
        <w:shd w:val="clear" w:color="auto" w:fill="F2F2F2"/>
        <w:spacing w:line="276" w:lineRule="auto" w:before="0" w:after="0"/>
        <w:ind w:firstLine="0" w:left="360"/>
      </w:pPr>
      <w:r>
        <w:rPr>
          <w:rFonts w:ascii="Consolas" w:hAnsi="Consolas" w:eastAsia="宋体"/>
          <w:sz w:val="18"/>
        </w:rPr>
        <w:t>└── scripts/</w:t>
      </w:r>
    </w:p>
    <w:p>
      <w:pPr>
        <w:shd w:val="clear" w:color="auto" w:fill="F2F2F2"/>
        <w:spacing w:line="276" w:lineRule="auto" w:before="0" w:after="0"/>
        <w:ind w:firstLine="0" w:left="360"/>
      </w:pPr>
      <w:r>
        <w:rPr>
          <w:rFonts w:ascii="Consolas" w:hAnsi="Consolas" w:eastAsia="宋体"/>
          <w:sz w:val="18"/>
        </w:rPr>
        <w:t xml:space="preserve">    ├── build_docx.py           # 文档构建模板，排版与公式插入</w:t>
      </w:r>
    </w:p>
    <w:p>
      <w:pPr>
        <w:shd w:val="clear" w:color="auto" w:fill="F2F2F2"/>
        <w:spacing w:line="276" w:lineRule="auto" w:before="0" w:after="0"/>
        <w:ind w:firstLine="0" w:left="360"/>
      </w:pPr>
      <w:r>
        <w:rPr>
          <w:rFonts w:ascii="Consolas" w:hAnsi="Consolas" w:eastAsia="宋体"/>
          <w:sz w:val="18"/>
        </w:rPr>
        <w:t xml:space="preserve">    ├── mathHelpers.py          # OMML 数学元素构建器</w:t>
      </w:r>
    </w:p>
    <w:p>
      <w:pPr>
        <w:shd w:val="clear" w:color="auto" w:fill="F2F2F2"/>
        <w:spacing w:line="276" w:lineRule="auto" w:before="0" w:after="0"/>
        <w:ind w:firstLine="0" w:left="360"/>
      </w:pPr>
      <w:r>
        <w:rPr>
          <w:rFonts w:ascii="Consolas" w:hAnsi="Consolas" w:eastAsia="宋体"/>
          <w:sz w:val="18"/>
        </w:rPr>
        <w:t xml:space="preserve">    ├── formulas.py             # 预定义公式模板</w:t>
      </w:r>
    </w:p>
    <w:p>
      <w:pPr>
        <w:shd w:val="clear" w:color="auto" w:fill="F2F2F2"/>
        <w:spacing w:line="276" w:lineRule="auto" w:before="0" w:after="0"/>
        <w:ind w:firstLine="0" w:left="360"/>
      </w:pPr>
      <w:r>
        <w:rPr>
          <w:rFonts w:ascii="Consolas" w:hAnsi="Consolas" w:eastAsia="宋体"/>
          <w:sz w:val="18"/>
        </w:rPr>
        <w:t xml:space="preserve">    ├── validate_docx.py        # 轻量验证脚本</w:t>
      </w:r>
    </w:p>
    <w:p>
      <w:pPr>
        <w:shd w:val="clear" w:color="auto" w:fill="F2F2F2"/>
        <w:spacing w:line="276" w:lineRule="auto" w:before="0" w:after="0"/>
        <w:ind w:firstLine="0" w:left="360"/>
      </w:pPr>
      <w:r>
        <w:rPr>
          <w:rFonts w:ascii="Consolas" w:hAnsi="Consolas" w:eastAsia="宋体"/>
          <w:sz w:val="18"/>
        </w:rPr>
        <w:t xml:space="preserve">    └── optional/               # 可选功能脚本</w:t>
      </w:r>
    </w:p>
    <w:p>
      <w:pPr>
        <w:shd w:val="clear" w:color="auto" w:fill="F2F2F2"/>
        <w:spacing w:line="276" w:lineRule="auto" w:before="0" w:after="0"/>
        <w:ind w:firstLine="0" w:left="360"/>
      </w:pPr>
      <w:r>
        <w:rPr>
          <w:rFonts w:ascii="Consolas" w:hAnsi="Consolas" w:eastAsia="宋体"/>
          <w:sz w:val="18"/>
        </w:rPr>
        <w:t xml:space="preserve">        ├── merge_runs.py       # 合并碎片 run</w:t>
      </w:r>
    </w:p>
    <w:p>
      <w:pPr>
        <w:shd w:val="clear" w:color="auto" w:fill="F2F2F2"/>
        <w:spacing w:line="276" w:lineRule="auto" w:before="0" w:after="0"/>
        <w:ind w:firstLine="0" w:left="360"/>
      </w:pPr>
      <w:r>
        <w:rPr>
          <w:rFonts w:ascii="Consolas" w:hAnsi="Consolas" w:eastAsia="宋体"/>
          <w:sz w:val="18"/>
        </w:rPr>
        <w:t xml:space="preserve">        ├── accept_changes.py   # 接受所有追踪修订</w:t>
      </w:r>
    </w:p>
    <w:p>
      <w:pPr>
        <w:shd w:val="clear" w:color="auto" w:fill="F2F2F2"/>
        <w:spacing w:line="276" w:lineRule="auto" w:before="0" w:after="0"/>
        <w:ind w:firstLine="0" w:left="360"/>
      </w:pPr>
      <w:r>
        <w:rPr>
          <w:rFonts w:ascii="Consolas" w:hAnsi="Consolas" w:eastAsia="宋体"/>
          <w:sz w:val="18"/>
        </w:rPr>
        <w:t xml:space="preserve">        ├── comment.py          # 批注管理</w:t>
      </w:r>
    </w:p>
    <w:p>
      <w:pPr>
        <w:shd w:val="clear" w:color="auto" w:fill="F2F2F2"/>
        <w:spacing w:line="276" w:lineRule="auto" w:before="0" w:after="0"/>
        <w:ind w:firstLine="0" w:left="360"/>
      </w:pPr>
      <w:r>
        <w:rPr>
          <w:rFonts w:ascii="Consolas" w:hAnsi="Consolas" w:eastAsia="宋体"/>
          <w:sz w:val="18"/>
        </w:rPr>
        <w:t xml:space="preserve">        ├── templates/          # 批注 XML 模板</w:t>
      </w:r>
    </w:p>
    <w:p>
      <w:pPr>
        <w:shd w:val="clear" w:color="auto" w:fill="F2F2F2"/>
        <w:spacing w:line="276" w:lineRule="auto" w:before="0" w:after="0"/>
        <w:ind w:firstLine="0" w:left="360"/>
      </w:pPr>
      <w:r>
        <w:rPr>
          <w:rFonts w:ascii="Consolas" w:hAnsi="Consolas" w:eastAsia="宋体"/>
          <w:sz w:val="18"/>
        </w:rPr>
        <w:t xml:space="preserve">        └── office/             # 验证与转换工具</w:t>
      </w:r>
    </w:p>
    <w:p>
      <w:pPr>
        <w:shd w:val="clear" w:color="auto" w:fill="F2F2F2"/>
        <w:spacing w:line="276" w:lineRule="auto" w:before="0" w:after="0"/>
        <w:ind w:firstLine="0" w:left="360"/>
      </w:pPr>
      <w:r>
        <w:rPr>
          <w:rFonts w:ascii="Consolas" w:hAnsi="Consolas" w:eastAsia="宋体"/>
          <w:sz w:val="18"/>
        </w:rPr>
        <w:t xml:space="preserve">            ├── soffice.py      # LibreOffice 跨平台调用</w:t>
      </w:r>
    </w:p>
    <w:p>
      <w:pPr>
        <w:shd w:val="clear" w:color="auto" w:fill="F2F2F2"/>
        <w:spacing w:line="276" w:lineRule="auto" w:before="0" w:after="0"/>
        <w:ind w:firstLine="0" w:left="360"/>
      </w:pPr>
      <w:r>
        <w:rPr>
          <w:rFonts w:ascii="Consolas" w:hAnsi="Consolas" w:eastAsia="宋体"/>
          <w:sz w:val="18"/>
        </w:rPr>
        <w:t xml:space="preserve">            ├── validate.py     # XSD 模式验证入口</w:t>
      </w:r>
    </w:p>
    <w:p>
      <w:pPr>
        <w:shd w:val="clear" w:color="auto" w:fill="F2F2F2"/>
        <w:spacing w:line="276" w:lineRule="auto" w:before="0" w:after="0"/>
        <w:ind w:firstLine="0" w:left="360"/>
      </w:pPr>
      <w:r>
        <w:rPr>
          <w:rFonts w:ascii="Consolas" w:hAnsi="Consolas" w:eastAsia="宋体"/>
          <w:sz w:val="18"/>
        </w:rPr>
        <w:t xml:space="preserve">            ├── helpers/        # 通用辅助函数包</w:t>
      </w:r>
    </w:p>
    <w:p>
      <w:pPr>
        <w:shd w:val="clear" w:color="auto" w:fill="F2F2F2"/>
        <w:spacing w:line="276" w:lineRule="auto" w:before="0" w:after="0"/>
        <w:ind w:firstLine="0" w:left="360"/>
      </w:pPr>
      <w:r>
        <w:rPr>
          <w:rFonts w:ascii="Consolas" w:hAnsi="Consolas" w:eastAsia="宋体"/>
          <w:sz w:val="18"/>
        </w:rPr>
        <w:t xml:space="preserve">            ├── schemas/        # OOXML 模式文件</w:t>
      </w:r>
    </w:p>
    <w:p>
      <w:pPr>
        <w:shd w:val="clear" w:color="auto" w:fill="F2F2F2"/>
        <w:spacing w:line="276" w:lineRule="auto" w:before="0" w:after="0"/>
        <w:ind w:firstLine="0" w:left="360"/>
      </w:pPr>
      <w:r>
        <w:rPr>
          <w:rFonts w:ascii="Consolas" w:hAnsi="Consolas" w:eastAsia="宋体"/>
          <w:sz w:val="18"/>
        </w:rPr>
        <w:t xml:space="preserve">            └── validators/     # 验证器</w:t>
      </w:r>
    </w:p>
    <w:p>
      <w:pPr>
        <w:pStyle w:val="Heading1"/>
        <w:spacing w:line="360" w:lineRule="auto" w:before="480" w:after="120"/>
        <w:ind w:firstLine="0"/>
        <w:jc w:val="left"/>
      </w:pPr>
      <w:r>
        <w:rPr>
          <w:rFonts w:ascii="Arial" w:hAnsi="Arial" w:eastAsia="黑体"/>
          <w:b/>
          <w:color w:val="000000"/>
          <w:sz w:val="32"/>
        </w:rPr>
        <w:t>十九、安装与使用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通过客户端安装：将技能压缩包上传至 AI 客户端对应的技能安装位置，客户端自动读取 SKILL.md 中的指令。手动安装：将仓库内容复制到项目的 skills/docx-formatter 目录，目录名与 SKILL.md 中 name 字段保持一致。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安装后在对话中直接描述需求即可触发技能，例如生成一份带公式的 Word 文档、排版一份技术报告为 Word、用数学方程格式化这段文档、在 Word 中创建流程图。可选功能需明确要求，例如将文档转为 PDF 查看效果、对文档添加批注、以追踪修订方式修改现有文档。</w:t>
      </w:r>
    </w:p>
    <w:p>
      <w:pPr>
        <w:pStyle w:val="Heading1"/>
        <w:spacing w:line="360" w:lineRule="auto" w:before="480" w:after="120"/>
        <w:ind w:firstLine="0"/>
        <w:jc w:val="left"/>
      </w:pPr>
      <w:r>
        <w:rPr>
          <w:rFonts w:ascii="Arial" w:hAnsi="Arial" w:eastAsia="黑体"/>
          <w:b/>
          <w:color w:val="000000"/>
          <w:sz w:val="32"/>
        </w:rPr>
        <w:t>二十、许可证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本项目可自由使用和修改。</w:t>
      </w:r>
    </w:p>
    <w:p>
      <w:pPr>
        <w:pStyle w:val="Heading1"/>
        <w:spacing w:line="360" w:lineRule="auto" w:before="480" w:after="120"/>
        <w:ind w:firstLine="0"/>
        <w:jc w:val="left"/>
      </w:pPr>
      <w:r>
        <w:rPr>
          <w:rFonts w:ascii="Arial" w:hAnsi="Arial" w:eastAsia="黑体"/>
          <w:b/>
          <w:color w:val="000000"/>
          <w:sz w:val="32"/>
        </w:rPr>
        <w:t>二十一、致谢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排版部分标准对齐 NJUThesis LaTeX 模板，部分对齐北京大学研究生学位论文写作指南；可选功能参考 Anthropic 官方 docx 技能。</w:t>
      </w:r>
    </w:p>
    <w:sectPr w:rsidR="00FC693F" w:rsidRPr="0006063C" w:rsidSect="00034616">
      <w:footerReference w:type="default" r:id="rId9"/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sz w:val="21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pPr>
      <w:spacing w:line="440" w:lineRule="exact"/>
    </w:pPr>
    <w:rPr>
      <w:rFonts w:ascii="黑体" w:hAnsi="黑体" w:eastAsia="黑体"/>
      <w:b w:val="0"/>
      <w:sz w:val="28"/>
      <w:bCs w:val="0"/>
      <w:szCs w:val="28"/>
    </w:rPr>
  </w:style>
  <w:style w:type="paragraph" w:styleId="TOC2">
    <w:name w:val="TOC 2"/>
    <w:basedOn w:val="Normal"/>
    <w:pPr>
      <w:spacing w:line="440" w:lineRule="exact"/>
    </w:pPr>
    <w:rPr>
      <w:rFonts w:ascii="宋体" w:hAnsi="宋体" w:eastAsia="宋体"/>
      <w:b w:val="0"/>
      <w:sz w:val="24"/>
      <w:bCs w:val="0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