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480" w:after="3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r>
        <w:br w:type="page"/>
      </w: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r>
        <w:br w:type="page"/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文档，覆盖章节结构、正文、数学公式、表格、流程图、目录、引用上标与文档验证的完整排版链路，输出符合学术与工程规范的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19 个模块，其中 13 个默认启用，1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3.18cm，页脚居中页码为五号 Times New Roman。各级标题颜色显式覆盖为黑色，规避 Word 内置 Heading 样式的默认蓝色。中西文字体分离：正文西文用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rPr>
          <w:rFonts w:ascii="Arial" w:hAnsi="Arial" w:eastAsia="黑体"/>
          <w:b/>
          <w:color w:val="000000"/>
          <w:sz w:val="32"/>
        </w:rP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程佩青. 数字信号处理教程[M]. 4版. 北京: 清华大学出版社, 2015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陈大明, 刘思远. 基于加窗傅里叶变换的谐波检测方法[J]. 信号处理学报, 2023, 41(2): 115-128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Oppenheim A V, Willsky A S, Nawab S H. Signals and Systems[M]. 2nd ed. Upper Saddle River: Prentice Hall, 1997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周文静. 短时傅里叶变换在振动信号分析中的应用[D]. 南京: 东南大学,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Zhang W, Liu H. Window function selection for spectral leakage suppression[C]//Proceedings of the International Conference on Signal Processing. Beijing: IEEE, 2021: 45-52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全国信息与文献标准化技术委员会. 信息与文献 参考文献著录规则: GB/T 7714-2015[S]. 北京: 中国标准出版社, 2015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版本中均可编辑。以信号处理流程为例，下方流程图即为表格框图的真实渲染结果：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列表格实现，左右等宽并锁定固定布局，箭头恒位于整表几何中心，与两侧文字长短无关；中间竖线融合后左右单元格视觉连通。左右地位相等时不加底纹，层级不同时可传 left_shade 参数生成左灰右白效果，用于表达预处理阶段向决策阶段一类的层级转换。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图标题与表标题由内部计数器自动编号，无需手动填写编号。图标题位于图下方，表标题位于表上方，两类编号相互独立。setup_document 自动调用 reset_counters，每次生成文档均从图1与表1开始。add_fig_caption 传入空字符串时生成纯间距段落且不递增编号。add_note 在图下方添加居中斜体图注。本文档中的图与表编号均为自动生成。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835"/>
        <w:gridCol w:w="3855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283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85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 a k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 x 2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 η N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 Σ</w:t>
            </w:r>
          </w:p>
        </w:tc>
        <w:tc>
          <w:tcPr>
            <w:tcW w:type="dxa" w:w="385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十二、目录生成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在文档标题后、正文前插入目录域，在 Word 中按住 Ctrl 并点击条目可跳转至对应标题。Word 打开文档时提示更新域，选择"是"即生成目录条目。目录标题黑体三号居中，一级条目黑体四号，二级条目宋体小四，行距固定 22pt，样式对齐 NJUThesis 模板。默认层级为 1 到 2 级，文档主标题不进入目录。目录条目默认在 Word 打开文档时提示更新域并生成，由文档设置中的 w:updateFields 开关实现；传入 auto_update=False 可关闭该行为，改为在目录上右键选择更新域手动生成。目录后自动分页。本文档开头的目录即为实际效果。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十三、轻量文档验证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validate_docx.py 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十四、安全解压与重打包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rPr>
          <w:rFonts w:ascii="Arial" w:hAnsi="Arial" w:eastAsia="黑体"/>
          <w:b/>
          <w:color w:val="000000"/>
          <w:sz w:val="24"/>
        </w:rPr>
        <w:t>15.4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247"/>
        <w:gridCol w:w="2835"/>
        <w:gridCol w:w="907"/>
        <w:gridCol w:w="907"/>
      </w:tblGrid>
      <w:tr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283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目录条目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黑体或宋体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四号或小四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固定行距 22pt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十九、安装与使用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通过客户端安装：将技能压缩包上传至 AI 客户端对应的技能安装位置，客户端自动读取 SKILL.md 中的指令。手动安装：将仓库内容复制到项目的 skills/docx-formatter 目录，目录名与 SKILL.md 中 name 字段保持一致。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安装后在对话中直接描述需求即可触发技能，例如生成一份带公式的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本项目可自由使用和修改。</w:t>
      </w:r>
    </w:p>
    <w:p>
      <w:pPr>
        <w:pStyle w:val="Heading1"/>
        <w:spacing w:line="360" w:lineRule="auto" w:before="480" w:after="120"/>
        <w:ind w:firstLine="0"/>
        <w:jc w:val="left"/>
      </w:pPr>
      <w:r>
        <w:rPr>
          <w:rFonts w:ascii="Arial" w:hAnsi="Arial" w:eastAsia="黑体"/>
          <w:b/>
          <w:color w:val="000000"/>
          <w:sz w:val="32"/>
        </w:rPr>
        <w:t>二十一、致谢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排版部分标准对齐 </w:t>
      </w:r>
      <w:hyperlink r:id="rId10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模板，部分对齐</w:t>
      </w:r>
      <w:hyperlink r:id="rId11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40" w:lineRule="exact"/>
    </w:pPr>
    <w:rPr>
      <w:rFonts w:ascii="黑体" w:hAnsi="黑体" w:eastAsia="黑体"/>
      <w:b w:val="0"/>
      <w:sz w:val="28"/>
      <w:bCs w:val="0"/>
      <w:szCs w:val="28"/>
    </w:rPr>
  </w:style>
  <w:style w:type="paragraph" w:styleId="TOC2">
    <w:name w:val="TOC 2"/>
    <w:basedOn w:val="Normal"/>
    <w:pPr>
      <w:spacing w:line="440" w:lineRule="exact"/>
    </w:pPr>
    <w:rPr>
      <w:rFonts w:ascii="宋体" w:hAnsi="宋体" w:eastAsia="宋体"/>
      <w:b w:val="0"/>
      <w:sz w:val="24"/>
      <w:bCs w:val="0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nju-lug/NJUThesis" TargetMode="External"/><Relationship Id="rId11" Type="http://schemas.openxmlformats.org/officeDocument/2006/relationships/hyperlink" Target="https://grs.pku.edu.cn/docs/2019-03/20190304101034750506.pdf" TargetMode="External"/><Relationship Id="rId12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