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440" w:lineRule="exact" w:before="0" w:after="0"/>
        <w:ind w:firstLine="0"/>
        <w:jc w:val="center"/>
      </w:pPr>
    </w:p>
    <w:p>
      <w:pPr>
        <w:spacing w:line="360" w:lineRule="auto" w:before="165" w:after="160"/>
        <w:ind w:firstLine="0"/>
        <w:jc w:val="center"/>
      </w:pPr>
      <w:r>
        <w:rPr>
          <w:rFonts w:ascii="Arial" w:hAnsi="Arial" w:eastAsia="黑体"/>
          <w:b/>
          <w:sz w:val="52"/>
        </w:rPr>
        <w:t>docx-formatter 中文 Word 专业排版技能</w:t>
      </w:r>
    </w:p>
    <w:p>
      <w:pPr>
        <w:spacing w:line="360" w:lineRule="auto" w:before="0" w:after="1200"/>
        <w:ind w:firstLine="0"/>
        <w:jc w:val="center"/>
      </w:pPr>
      <w:r>
        <w:rPr>
          <w:rFonts w:ascii="Arial" w:hAnsi="Arial" w:eastAsia="黑体"/>
          <w:b/>
          <w:sz w:val="40"/>
        </w:rPr>
        <w:t>技能说明与排版效果样例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陈攀</w:t>
      </w:r>
    </w:p>
    <w:p>
      <w:pPr>
        <w:spacing w:line="360" w:lineRule="auto" w:before="160" w:after="0"/>
        <w:ind w:firstLine="0"/>
        <w:jc w:val="center"/>
      </w:pPr>
      <w:r>
        <w:rPr>
          <w:rFonts w:ascii="Times New Roman" w:hAnsi="Times New Roman" w:eastAsia="宋体"/>
          <w:b w:val="0"/>
          <w:sz w:val="30"/>
        </w:rPr>
        <w:t>2026年9月21日</w:t>
      </w:r>
    </w:p>
    <w:p>
      <w:pPr>
        <w:sectPr>
          <w:footerReference w:type="default" r:id="rId9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ind w:firstLine="0"/>
        <w:jc w:val="center"/>
      </w:pPr>
      <w:r>
        <w:rPr>
          <w:rFonts w:ascii="黑体" w:hAnsi="黑体" w:eastAsia="黑体"/>
          <w:b/>
          <w:color w:val="000000"/>
          <w:sz w:val="32"/>
        </w:rPr>
        <w:t>目  录</w:t>
      </w:r>
    </w:p>
    <w:p>
      <w:pPr>
        <w:ind w:firstLine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b w:val="0"/>
          <w:sz w:val="24"/>
        </w:rPr>
        <w:t>（请在 Word 中右键此处选择"更新域"以生成目录）</w:t>
      </w:r>
      <w:r>
        <w:fldChar w:fldCharType="end"/>
      </w:r>
    </w:p>
    <w:p>
      <w:pPr>
        <w:sectPr>
          <w:footerReference w:type="default" r:id="rId10"/>
          <w:pgSz w:w="11906" w:h="16838"/>
          <w:pgMar w:top="1440" w:right="1803" w:bottom="1440" w:left="1803" w:header="720" w:footer="720" w:gutter="0"/>
          <w:cols w:space="720"/>
          <w:docGrid w:linePitch="360"/>
        </w:sectPr>
      </w:pP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docx-formatter 将文本或 Markdown 内容排版为专业的中文 Word 文档。最常见的用法是把 AI 生成的 Markdown 正文（报告、说明、方案、论文、讲义等）按学术与工程规范排版为 .docx，并借助库函数补充 Markdown 无法表达的构件；覆盖章节结构、正文、数学公式、表格、流程图、目录、引用上标与文档验证的完整排版链路，输出符合学术与工程规范的 .docx 文件。排版效果可参考仓库中的 README.docx 与 README.pdf。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70400" cy="2970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400" cy="2970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技能效果示意图</w:t>
      </w:r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图：左侧为 README.md 源码，右侧为同一内容经本技能排版生成的 README.docx。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技能采用单引擎架构，核心排版功能仅依赖 Python 3.8 及以上版本与 python-docx。数学公式由 omml_math_kit.py 直接生成 OMML XML，即 Word 原生公式格式，公式在 Word 中可二次编辑，无需 Node.js、LaTeX 渲染器或 Pandoc 等任何外部转换工具。</w:t>
      </w:r>
    </w:p>
    <w:p>
      <w:pPr>
        <w:pStyle w:val="Heading1"/>
        <w:spacing w:line="360" w:lineRule="auto" w:before="480" w:after="120"/>
        <w:ind w:firstLine="0"/>
        <w:jc w:val="left"/>
      </w:pPr>
      <w:r>
        <w:t>一、安装</w:t>
      </w:r>
    </w:p>
    <w:p>
      <w:pPr>
        <w:pStyle w:val="Heading2"/>
        <w:spacing w:line="360" w:lineRule="auto" w:before="240" w:after="120"/>
        <w:ind w:firstLine="0"/>
        <w:jc w:val="left"/>
      </w:pPr>
      <w:r>
        <w:t>1.1 方式一：让 Agent 帮你装（推荐）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在聊天窗口中直接输入“帮我安装 https://github.com/CP-here/docx-formatter-skill”，让 Agent 安装；安装完成后直接让它用本技能排版即可。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1.2 方式二：下载 Release 压缩包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从 Releases 页面的 Assets 下载 `docx-formatter.zip`，按客户端类型安装：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支持上传技能压缩包或技能市场的客户端：</w:t>
      </w:r>
      <w:r>
        <w:rPr>
          <w:rFonts w:ascii="Times New Roman" w:hAnsi="Times New Roman" w:eastAsia="宋体"/>
          <w:b w:val="0"/>
          <w:sz w:val="24"/>
        </w:rPr>
        <w:t>腾讯 WorkBuddy（SkillHub 上传 zip）、豆包桌面版 / 豆包工作（技能·连接器面板）、阿里千问办公 / QoderWork、通义桌面 agent、Kimi Work、智谱 AutoGLM / AutoClaw、百度 DuMate（百度搭子）、阶跃 AI 桌面 / OpenClaw、有道 LobsterAI（技能商店 / 本地导入）、飞书 AI、TRAE Work、扣子 Coze 等，将 zip 或解压后的技能文件夹按各客户端“上传技能 / 导入 Skill / 本地技能”入口添加即可；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代码或 agent 类客户端：</w:t>
      </w:r>
      <w:r>
        <w:rPr>
          <w:rFonts w:ascii="Times New Roman" w:hAnsi="Times New Roman" w:eastAsia="宋体"/>
          <w:b w:val="0"/>
          <w:sz w:val="24"/>
        </w:rPr>
        <w:t>腾讯 CodeBuddy、字节 TRAE、DeepSeek Harness、OpenCode，以及兼容 Claude / Cursor 技能格式的客户端，将解压后的 `docx-formatter/` 放入对应技能目录（如 `~/.claude/skills/`、`~/.cursor/skills/`、项目内 `.agents/skills/` 等）；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其他不支持手动安装技能的桌面助手：</w:t>
      </w:r>
      <w:r>
        <w:rPr>
          <w:rFonts w:ascii="Times New Roman" w:hAnsi="Times New Roman" w:eastAsia="宋体"/>
          <w:b w:val="0"/>
          <w:sz w:val="24"/>
        </w:rPr>
        <w:t>如 ChatGPT 桌面版、统信 UOS AI、Chatbox 及各厂商“电脑版 / 桌面版”对话客户端，可直接提供 zip 文件让 Agent 自行安装。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该压缩包已剔除样例文档与展示图，仅保留运行所需的 `README.md`、`SKILL.md`、`scripts/` 与 `LICENSE`。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1.3 方式三：从仓库复制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`git clone` 本仓库后，把仓库根目录整体复制到技能目录即可，目录名与 SKILL.md 中 name 字段保持一致。项目级与用户级路径如下：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项目级与用户级技能目录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3062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客户端</w:t>
            </w:r>
          </w:p>
        </w:tc>
        <w:tc>
          <w:tcPr>
            <w:tcW w:type="dxa" w:w="36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项目级路径</w:t>
            </w:r>
          </w:p>
        </w:tc>
        <w:tc>
          <w:tcPr>
            <w:tcW w:type="dxa" w:w="3062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用户级路径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Claude Code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`&lt;项目&gt;/.claude/skills/docx-formatter/`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`~/.claude/skills/docx-formatter/`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Codex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`&lt;项目&gt;/.codex/skills/docx-formatter/`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`~/.codex/skills/docx-formatter/`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Cursor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`&lt;项目&gt;/.cursor/skills/docx-formatter/`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`~/.cursor/skills/docx-formatter/`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WorkBuddy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`&lt;项目&gt;/.workbuddy/skills/docx-formatter/`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`~/.workbuddy/skills/docx-formatter/`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其他框架</w:t>
            </w:r>
          </w:p>
        </w:tc>
        <w:tc>
          <w:tcPr>
            <w:tcW w:type="dxa" w:w="36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`&lt;项目&gt;` 下助手能发现 `SKILL.md` 的任意位置（须放在项目文件夹内）</w:t>
            </w:r>
          </w:p>
        </w:tc>
        <w:tc>
          <w:tcPr>
            <w:tcW w:type="dxa" w:w="306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当前用户主目录下助手能发现 `SKILL.md` 的任意位置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放在项目级的好处是技能随仓库走，提交后每个打开该项目的人都能自动获得这套排版能力；放在用户级的好处是当前用户的所有项目都能用，无需逐个项目复制，安装后在对话中以斜杠引用该技能，例如 `/docx-formatter`。</w:t>
      </w:r>
    </w:p>
    <w:p>
      <w:pPr>
        <w:pStyle w:val="Heading2"/>
        <w:spacing w:line="360" w:lineRule="auto" w:before="240" w:after="120"/>
        <w:ind w:firstLine="0"/>
        <w:jc w:val="left"/>
      </w:pPr>
      <w:r>
        <w:t>1.4 方式四：npx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npx skills add https://github.com/CP-here/docx-formatter-skill --skill docx-formatter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安装完成后重启助手会话，使技能索引刷新。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二、功能矩阵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技能共包含 20 个模块，其中 13 个默认启用，2 个按需生成，5 个为可选模块，仅在明确要求时启用。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功能矩阵总览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28"/>
        <w:gridCol w:w="907"/>
        <w:gridCol w:w="5329"/>
      </w:tblGrid>
      <w:tr>
        <w:tc>
          <w:tcPr>
            <w:tcW w:type="dxa" w:w="192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默认状态</w:t>
            </w:r>
          </w:p>
        </w:tc>
        <w:tc>
          <w:tcPr>
            <w:tcW w:type="dxa" w:w="53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标准排版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标题、正文、缩进与行距体系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排版预设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整套切换排版参数，支持中西文字体分离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OMML 数学公式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行内与块级公式，Word 原生可编辑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引用上标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参考文献标记自动渲染为上标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参考文献列表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GB/T 7714-2015 顺序编码制文献表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表格框图流程图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表格与 Unicode 箭头构建流程图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分层架构图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多层架构的表格框图堆叠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图表自动编号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图表标题自动递增编号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代码块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等宽字体与浅灰底纹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数据表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灰色表头与固定列宽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单元格公式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表格单元格内插入行内公式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轻量文档验证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纯标准库 5 项检查，生成后默认执行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安全解压与重打包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启用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编辑现有文档的安全基础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目录生成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Heading 样式加目录域，末尾分节触发正文页码从 1 起算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封面页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居中标题块，顶部留白按版心比例自动适配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PDF 渲染验证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Windows 调用本机 Word 渲染，其他平台调用 LibreOffice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XSD 模式验证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OOXML 标准深度验证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编辑现有文档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解压、编辑与重打包工作流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追踪修订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接受全部追踪修订</w:t>
            </w:r>
          </w:p>
        </w:tc>
      </w:tr>
      <w:tr>
        <w:tc>
          <w:tcPr>
            <w:tcW w:type="dxa" w:w="192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批注管理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可选</w:t>
            </w:r>
          </w:p>
        </w:tc>
        <w:tc>
          <w:tcPr>
            <w:tcW w:type="dxa" w:w="53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批注插入与交叉链接维护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三、如何开始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本技能为函数库，不含可执行入口：docx_layout_kit.py 无 main() 函数，直接运行不产生任何输出。Agent 生成文档的方式是编写调用脚本，导入库函数后按文档结构依次调用。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Agent 生成文档前应先阅读 scripts/_build_readme_docx.py。该文件是本技能的标准骨架，从 setup_document() 到 doc.save() 的完整调用顺序均在其正文示范；它同时用于生成项目根目录的 README.docx，因而始终与库保持同步。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参考文件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494"/>
        <w:gridCol w:w="5670"/>
      </w:tblGrid>
      <w:tr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参考文件</w:t>
            </w:r>
          </w:p>
        </w:tc>
        <w:tc>
          <w:tcPr>
            <w:tcW w:type="dxa" w:w="567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scripts/_build_readme_docx.py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标准骨架范例，覆盖封面、目录、标题、正文、分点、公式、数据表、流程图、图表标题与参考文献的完整调用顺序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SKILL.md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各函数的完整参数说明、排版数值、规则与陷阱</w:t>
            </w:r>
          </w:p>
        </w:tc>
      </w:tr>
      <w:tr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scripts/docx_layout_kit.py</w:t>
            </w:r>
          </w:p>
        </w:tc>
        <w:tc>
          <w:tcPr>
            <w:tcW w:type="dxa" w:w="567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函数库本体与预设值，用于确认实现细节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标准流程为：Agent 阅读 _build_readme_docx.py 的 import 段与调用顺序，复制 docx_layout_kit.py 到工作目录（文档含公式时再加 omml_math_kit.py 与 formula_templates.py），新建调用脚本并按范例顺序写入内容，运行后用 docx_validator.py 验证。</w:t>
      </w:r>
    </w:p>
    <w:p>
      <w:pPr>
        <w:pStyle w:val="Heading1"/>
        <w:spacing w:line="360" w:lineRule="auto" w:before="480" w:after="120"/>
        <w:ind w:firstLine="0"/>
        <w:jc w:val="left"/>
      </w:pPr>
      <w:r>
        <w:t>四、核心模块</w:t>
      </w:r>
    </w:p>
    <w:p>
      <w:pPr>
        <w:pStyle w:val="Heading2"/>
        <w:spacing w:line="360" w:lineRule="auto" w:before="240" w:after="120"/>
        <w:ind w:firstLine="0"/>
        <w:jc w:val="left"/>
      </w:pPr>
      <w:r>
        <w:t>4.1 标准排版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标题使用黑体，正文使用宋体。文档标题一号 26pt 居中加粗，一级标题三号 16pt 左对齐，二级与三级标题小四 12pt。正文小四 12pt 两端对齐，首行缩进 2 字符，全文 1.5 倍行距。纸张为 A4，页边距上下 2.54cm、左右 3.18cm。分级页码：封面与目录不显示页码，正文从第 1 页起算，页脚居中放置五号 Times New Roman 的 PAGE 域。封面页的居中标题块由顶部留白定位，留白高度按版心高比例换算，换纸张或页边距时自动等比适配。各级标题的字体、字号、加粗与黑色统一写在 Word 内置 Heading 样式上，标题文字本身不带直接字符格式；这样既覆盖了样式默认的蓝色与模板主题字体引用，也让 Word 更新目录域时无法把标题字体搬进条目，目录条目因而严格按样式呈现。中西文字体分离：正文西文用 Times New Roman 衬线体，标题西文用 Arial 无衬线体，对齐 NJUThesis 的字体族设计。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标准排版构件函数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setup_document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创建文档并应用页面设置，自动重置图表计数器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add_cover_page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封面页，居中标题块并用顶部留白定位，独立成节且不显示页码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add_title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不放封面时的文档主标题，黑体三号居中加粗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add_h1、add_h2、add_h3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一级、二级、三级标题，使用 Word 内置 Heading 样式，可进入目录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add_body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正文段落，支持加粗标记与引用上标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add_item_para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加粗标签加分点内容的段落，标签整体加粗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setup_document, add_title, add_h1, add_body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"信号分析实验报告")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"一、实验目的")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"本实验验证傅里叶分析方法在周期信号处理中的有效性。")</w:t>
      </w:r>
    </w:p>
    <w:p>
      <w:pPr>
        <w:pStyle w:val="Heading2"/>
        <w:spacing w:line="360" w:lineRule="auto" w:before="240" w:after="120"/>
        <w:ind w:firstLine="0"/>
        <w:jc w:val="left"/>
      </w:pPr>
      <w:r>
        <w:t>4.2 排版预设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排版参数集中在 docx_layout_kit.py 顶部的 PRESETS 字典中，按标题、正文、分点、图注、页面、目录、封面等分组管理，各排版函数统一读取当前激活的预设。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set_preset 整套切换排版参数，</w:t>
      </w:r>
      <w:r>
        <w:rPr>
          <w:rFonts w:ascii="Times New Roman" w:hAnsi="Times New Roman" w:eastAsia="宋体"/>
          <w:b w:val="0"/>
          <w:sz w:val="24"/>
        </w:rPr>
        <w:t>须在 setup_document 之前调用，默认预设与标准排版一致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新增预设</w:t>
      </w:r>
      <w:r>
        <w:rPr>
          <w:rFonts w:ascii="Times New Roman" w:hAnsi="Times New Roman" w:eastAsia="宋体"/>
          <w:b w:val="0"/>
          <w:sz w:val="24"/>
        </w:rPr>
        <w:t>只需向 PRESETS 追加一份同结构的嵌套字典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支持中西文字体分离，</w:t>
      </w:r>
      <w:r>
        <w:rPr>
          <w:rFonts w:ascii="Times New Roman" w:hAnsi="Times New Roman" w:eastAsia="宋体"/>
          <w:b w:val="0"/>
          <w:sz w:val="24"/>
        </w:rPr>
        <w:t>开启后西文使用 Times New Roman，中文保持原有字体不变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封面留白比例位于预设的封面分组内，</w:t>
      </w:r>
      <w:r>
        <w:rPr>
          <w:rFonts w:ascii="Times New Roman" w:hAnsi="Times New Roman" w:eastAsia="宋体"/>
          <w:b w:val="0"/>
          <w:sz w:val="24"/>
        </w:rPr>
        <w:t>留白高度由它乘以版心高得出，换纸张与页边距时封面位置随之等比适配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分组结构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排版预设分组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3515"/>
        <w:gridCol w:w="3629"/>
      </w:tblGrid>
      <w:tr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分组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键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`west`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`separate` / `body` / `head`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中西文字体分离开关及西文正文/标题字体（默认关闭）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`title`~`h3`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`bold` / `color` / `line_spacing`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标题样式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`body`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`font` / `size` / `line_spacing` / `first_line_indent` / 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正文；间距为 `None` 表示不设置、沿用样式继承（默认不设段间距）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`item`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`space_before` / `space_after`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分点段落间距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`caption`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图/表标题字号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`note`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`size`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图注字号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`table`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`gap_after`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数据表下方间距段高度（pt），默认 12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`page_width` / `page_height` / `margin_top` / `margin_bottom` / `margin_left` / `margin_right` / `header_distance` / `footer_distance`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纸张尺寸（cm）与页边距、页眉页脚距离（cm）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`toc`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`title_font` / `title_size` / `line_spacing` / `levels`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目录标题与条目：`levels` 按层级给出各条目的字体/字号/段前/段后/缩进（汉字符）</w:t>
            </w:r>
          </w:p>
        </w:tc>
      </w:tr>
      <w:tr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`cover`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`top_padding_ratio` / `spacer_height` / `title_*` / `subtitle_*` / `org_*` / `date_*`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封面：顶部留白占版心高的比例、留白空段单段高（pt）、标题块各元素字体/字号/间距（pt）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2"/>
        <w:spacing w:line="360" w:lineRule="auto" w:before="240" w:after="120"/>
        <w:ind w:firstLine="0"/>
        <w:jc w:val="left"/>
      </w:pPr>
      <w:r>
        <w:t>4.3 OMML 数学公式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公式构建器提供一组组合函数，直接生成 OMML XML 并插入文档，产物为 Word 原生可编辑公式，与手动插入的公式完全一致。下表为全部构建函数：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OMML 公式构建函数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350"/>
      </w:tblGrid>
      <w:tr>
        <w:tc>
          <w:tcPr>
            <w:tcW w:type="dxa" w:w="181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63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纯数学文本，自动转义 XML 特殊字符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下标，如 a 的下标 k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上标，如 x 的平方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求和符号，下标结构配合 Unicode ∑，规避空上标渲染异常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func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函数名加参数，如 cos 与 exp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paren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圆括号结构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bracket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方括号结构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块级公式，居中独立成行</w:t>
            </w:r>
          </w:p>
        </w:tc>
      </w:tr>
      <w:tr>
        <w:tc>
          <w:tcPr>
            <w:tcW w:type="dxa" w:w="181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inlineMath</w:t>
            </w:r>
          </w:p>
        </w:tc>
        <w:tc>
          <w:tcPr>
            <w:tcW w:type="dxa" w:w="63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行内公式，与正文混排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块级公式以傅里叶级数为例：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add_eq_para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r, sub, frac, sumOp, func, 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add_eq_para(doc, math([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r("f(t) =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frac([sub("a", "0")], [r("2")]),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r(" + 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sumOp([r("k")], [sub("a", "k"), func("cos", [r("k"), r("ωt")])]),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渲染结果为 Word 原生可编辑公式：</w:t>
      </w:r>
    </w:p>
    <w:p>
      <w:pPr>
        <w:spacing w:line="360" w:lineRule="auto" w:before="120" w:after="120"/>
        <w:ind w:firstLine="0"/>
        <w:jc w:val="center"/>
      </w:pPr>
      <m:oMath>
        <m:r>
          <m:t>f(t) = </m:t>
        </m:r>
        <m:f>
          <m:num>
            <m:sSub>
              <m:sSubPr/>
              <m:e>
                <m:r>
                  <m:t>a</m:t>
                </m:r>
              </m:e>
              <m:sub>
                <m:r>
                  <m:t>0</m:t>
                </m:r>
              </m:sub>
            </m:sSub>
          </m:num>
          <m:den>
            <m:r>
              <m:t>2</m:t>
            </m:r>
          </m:den>
        </m:f>
        <m:r>
          <m:t> + </m:t>
        </m:r>
        <m:sSub>
          <m:sSubPr/>
          <m:e>
            <m:r>
              <m:t>∑</m:t>
            </m:r>
          </m:e>
          <m:sub>
            <m:r>
              <m:t>k</m:t>
            </m:r>
          </m:sub>
        </m:sSub>
        <m:sSub>
          <m:sSubPr/>
          <m:e>
            <m:r>
              <m:t>a</m:t>
            </m:r>
          </m:e>
          <m:sub>
            <m:r>
              <m:t>k</m:t>
            </m:r>
          </m:sub>
        </m:sSub>
        <m:func>
          <m:funcPr/>
          <m:fName>
            <m:r>
              <m:t>cos</m:t>
            </m:r>
          </m:fName>
          <m:e>
            <m:d>
              <m:dPr/>
              <m:e>
                <m:r>
                  <m:t>k</m:t>
                </m:r>
                <m:r>
                  <m:t>ωt</m:t>
                </m:r>
              </m:e>
            </m:d>
          </m:e>
        </m:func>
      </m:oMath>
    </w:p>
    <w:p>
      <w:pPr>
        <w:spacing w:before="80" w:after="240"/>
        <w:ind w:firstLine="0"/>
        <w:jc w:val="center"/>
      </w:pPr>
      <w:r>
        <w:rPr>
          <w:rFonts w:ascii="宋体" w:hAnsi="宋体" w:eastAsia="宋体"/>
          <w:b w:val="0"/>
          <w:i/>
          <w:sz w:val="18"/>
        </w:rPr>
        <w:t>注：markdown 无法渲染 OMML，纯文本近似示意为 f(t) = a₀/2 + Σₖ aₖ cos(kωt)，不是输入语法；实际渲染以上方公式为准。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行内公式与正文混排：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add_body_with_math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omml_math_kit import sub, inlineMath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add_body_with_math(doc,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"其中，"),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("math", inlineMath([sub("a", "k")])),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("text", "为傅里叶系数，其数值由欧拉公式确定。"),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其中，</w:t>
      </w:r>
      <m:oMath>
        <m:sSub>
          <m:sSubPr/>
          <m:e>
            <m:r>
              <m:t>a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为傅里叶系数，其数值由欧拉公式确定。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对于分式套分式、双重求和、函数嵌套的复杂结构，构建函数可任意组合。下方为似然比检测损失的完整形态，包含分式嵌套、exp 与 log 嵌套、集合记号与权重系数：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n∈N</m:t>
            </m:r>
          </m:sub>
        </m:sSub>
        <m:r>
          <m:t>[</m:t>
        </m:r>
        <m:f>
          <m:num>
            <m:r>
              <m:t>1</m:t>
            </m:r>
          </m:num>
          <m:den>
            <m:r>
              <m:t>|K(n)|</m:t>
            </m:r>
          </m:den>
        </m:f>
        <m:r>
          <m:t> </m:t>
        </m:r>
        <m:sSub>
          <m:sSubPr/>
          <m:e>
            <m:r>
              <m:t>∑</m:t>
            </m:r>
          </m:e>
          <m:sub>
            <m:r>
              <m:t>k∈K(n)</m:t>
            </m:r>
          </m:sub>
        </m:sSub>
        <m:func>
          <m:funcPr/>
          <m:fName>
            <m:r>
              <m:t>log</m:t>
            </m:r>
          </m:fName>
          <m:e>
            <m:d>
              <m:dPr/>
              <m:e>
                <m:f>
                  <m:num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num>
                  <m:den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k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m:t> + </m:t>
                    </m:r>
                    <m:sSub>
                      <m:sSubPr/>
                      <m:e>
                        <m:r>
                          <m:t>∑</m:t>
                        </m:r>
                      </m:e>
                      <m:sub>
                        <m:r>
                          <m:t>m∉K(n)</m:t>
                        </m:r>
                      </m:sub>
                    </m:sSub>
                    <m:sSub>
                      <m:sSubPr/>
                      <m:e>
                        <m:r>
                          <m:t>w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 · </m:t>
                    </m:r>
                    <m:func>
                      <m:funcPr/>
                      <m:fName>
                        <m:r>
                          <m:t>exp</m:t>
                        </m:r>
                      </m:fName>
                      <m:e>
                        <m:d>
                          <m:dPr/>
                          <m:e>
                            <m:f>
                              <m:num>
                                <m:r>
                                  <m:t>s(</m:t>
                                </m:r>
                                <m:sSub>
                                  <m:sSubPr/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n</m:t>
                                    </m:r>
                                  </m:sub>
                                </m:sSub>
                                <m:r>
                                  <m:t>,</m:t>
                                </m:r>
                                <m:sSub>
                                  <m:sSubPr/>
                                  <m:e>
                                    <m:r>
                                      <m:t>h</m:t>
                                    </m:r>
                                  </m:e>
                                  <m:sub>
                                    <m:r>
                                      <m:t>m</m:t>
                                    </m:r>
                                  </m:sub>
                                </m:sSub>
                                <m:r>
                                  <m:t>)</m:t>
                                </m:r>
                              </m:num>
                              <m:den>
                                <m: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den>
                </m:f>
              </m:e>
            </m:d>
          </m:e>
        </m:func>
        <m:r>
          <m:t>]</m:t>
        </m:r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formula_templates.py 内置若干常用公式模板，是现成的 OMML 公式对象，导入即可插入文档，无需重新拼装构建函数，也可作为自定义公式的参考模式。希腊字母与数学符号以 Unicode 直接书写，如 λ、τ、α、β、∑、×、·、∈。</w:t>
      </w:r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S</m:t>
            </m:r>
          </m:e>
          <m:sub>
            <m:r>
              <m:t>total</m:t>
            </m:r>
          </m:sub>
        </m:sSub>
        <m:r>
          <m:t> = </m:t>
        </m:r>
        <m:sSub>
          <m:sSubPr/>
          <m:e>
            <m:r>
              <m:t>S</m:t>
            </m:r>
          </m:e>
          <m:sub>
            <m:r>
              <m:t>time</m:t>
            </m:r>
          </m:sub>
        </m:sSub>
        <m:r>
          <m:t> + λ × </m:t>
        </m:r>
        <m:sSub>
          <m:sSubPr/>
          <m:e>
            <m:r>
              <m:t>S</m:t>
            </m:r>
          </m:e>
          <m:sub>
            <m:r>
              <m:t>freq</m:t>
            </m:r>
          </m:sub>
        </m:sSub>
      </m:oMath>
    </w:p>
    <w:p>
      <w:pPr>
        <w:spacing w:line="360" w:lineRule="auto" w:before="120" w:after="120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det</m:t>
            </m:r>
          </m:sub>
        </m:sSub>
        <m:r>
          <m:t> = −</m:t>
        </m:r>
        <m:sSub>
          <m:sSubPr/>
          <m:e>
            <m:r>
              <m:t>∑</m:t>
            </m:r>
          </m:e>
          <m:sub>
            <m:r>
              <m:t>i</m:t>
            </m:r>
          </m:sub>
        </m:sSub>
        <m:sSub>
          <m:sSubPr/>
          <m:e>
            <m:r>
              <m:t>y</m:t>
            </m:r>
          </m:e>
          <m:sub>
            <m:r>
              <m:t>i</m:t>
            </m:r>
          </m:sub>
        </m:sSub>
        <m:r>
          <m:t> </m:t>
        </m:r>
        <m:func>
          <m:funcPr/>
          <m:fName>
            <m:r>
              <m:t>log</m:t>
            </m:r>
          </m:fName>
          <m:e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func>
      </m:oMath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求和符号必须使用 sumOp 构建。求和若采用 n 元运算符加空上标的写法，Word 会渲染一个不可见的上标占位框，导致文件看起来损坏；sumOp 改用下标结构配合 Unicode ∑ 实现，彻底规避该问题。所有接收子元素的函数内部自动展平嵌套列表，防止 XML 拼接错误。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4.4 引用上标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正文中的参考文献标记自动渲染为上标，适用于 add_body 与 add_item_para，支持三种格式：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表7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引用上标支持的格式</w:t>
      </w:r>
    </w:p>
    <w:tbl>
      <w:tblPr>
        <w:tblStyle w:val="TableGrid"/>
        <w:tblW w:type="dxa" w:w="5669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984"/>
        <w:gridCol w:w="3685"/>
      </w:tblGrid>
      <w:tr>
        <w:tc>
          <w:tcPr>
            <w:tcW w:type="dxa" w:w="198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格式</w:t>
            </w:r>
          </w:p>
        </w:tc>
        <w:tc>
          <w:tcPr>
            <w:tcW w:type="dxa" w:w="368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示例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多个引用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[1,2] 或 [1, 2]</w:t>
            </w:r>
          </w:p>
        </w:tc>
      </w:tr>
      <w:tr>
        <w:tc>
          <w:tcPr>
            <w:tcW w:type="dxa" w:w="198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范围引用</w:t>
            </w:r>
          </w:p>
        </w:tc>
        <w:tc>
          <w:tcPr>
            <w:tcW w:type="dxa" w:w="368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[1-3]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"傅里叶分析方法在信号处理任务中表现出色[1]。后续研究[2,3]进一步验证了这一结论。")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本段即为实际渲染效果：傅里叶分析方法在信号处理任务中表现出色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，后续研究</w:t>
      </w:r>
      <w:r>
        <w:rPr>
          <w:rFonts w:ascii="Times New Roman" w:hAnsi="Times New Roman" w:eastAsia="宋体"/>
          <w:b w:val="0"/>
          <w:sz w:val="24"/>
          <w:vertAlign w:val="superscript"/>
        </w:rPr>
        <w:t>[2,3]</w:t>
      </w:r>
      <w:r>
        <w:rPr>
          <w:rFonts w:ascii="Times New Roman" w:hAnsi="Times New Roman" w:eastAsia="宋体"/>
          <w:b w:val="0"/>
          <w:sz w:val="24"/>
        </w:rPr>
        <w:t>进一步验证了这一结论，系统综述见</w:t>
      </w:r>
      <w:r>
        <w:rPr>
          <w:rFonts w:ascii="Times New Roman" w:hAnsi="Times New Roman" w:eastAsia="宋体"/>
          <w:b w:val="0"/>
          <w:sz w:val="24"/>
          <w:vertAlign w:val="superscript"/>
        </w:rPr>
        <w:t>[1-3]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4.5 参考文献列表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add_bibliography 生成 GB/T 7714-2015 顺序编码制参考文献表，格式对齐 NJUThesis LaTeX 模板，与正文引用上标配套使用：正文中的 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 xml:space="preserve"> 指向条目列表第一项，以此类推。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章节标题：</w:t>
      </w:r>
      <w:r>
        <w:rPr>
          <w:rFonts w:ascii="Times New Roman" w:hAnsi="Times New Roman" w:eastAsia="宋体"/>
          <w:b w:val="0"/>
          <w:sz w:val="24"/>
        </w:rPr>
        <w:t>黑体三号加粗居中，使用 Heading 1 样式，进入目录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条目：</w:t>
      </w:r>
      <w:r>
        <w:rPr>
          <w:rFonts w:ascii="Times New Roman" w:hAnsi="Times New Roman" w:eastAsia="宋体"/>
          <w:b w:val="0"/>
          <w:sz w:val="24"/>
        </w:rPr>
        <w:t>宋体五号，两端对齐，1.5 倍行距，悬挂缩进 2 字符，折行后与序号后文字对齐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序号：</w:t>
      </w:r>
      <w:r>
        <w:rPr>
          <w:rFonts w:ascii="Times New Roman" w:hAnsi="Times New Roman" w:eastAsia="宋体"/>
          <w:b w:val="0"/>
          <w:sz w:val="24"/>
          <w:vertAlign w:val="superscript"/>
        </w:rPr>
        <w:t>[1]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Times New Roman" w:hAnsi="Times New Roman" w:eastAsia="宋体"/>
          <w:b w:val="0"/>
          <w:sz w:val="24"/>
          <w:vertAlign w:val="superscript"/>
        </w:rPr>
        <w:t>[2]</w:t>
      </w:r>
      <w:r>
        <w:rPr>
          <w:rFonts w:ascii="Times New Roman" w:hAnsi="Times New Roman" w:eastAsia="宋体"/>
          <w:b w:val="0"/>
          <w:sz w:val="24"/>
        </w:rPr>
        <w:t xml:space="preserve"> 按传入顺序自动生成，无需手写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add_bibliography(doc,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"张三, 李四. 示例期刊论文题名[J]. 示例期刊, 2020, 12(3): 45-56",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"王五. 示例图书题名[M]. 示例市: 示例出版社, 2019",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"赵六. 示例学位论文题名[D]. 示例市: 示例大学, 2021",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"钱七. 示例会议论文题名[C]//示例会议论文集. 示例市: 示例出版社, 2022: 78-85",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"示例标准化技术委员会. 示例标准题名: 示例标准编号[S]. 示例市: 示例出版社, 2018",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"孙八. 示例网页题名[EB/OL]. (2023-01-01)[2023-06-05]. https://example.com",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下方即参考文献表的实际渲染效果：</w:t>
      </w:r>
    </w:p>
    <w:p>
      <w:pPr>
        <w:pStyle w:val="Heading1"/>
        <w:spacing w:line="360" w:lineRule="auto" w:before="480" w:after="120"/>
        <w:ind w:firstLine="0"/>
        <w:jc w:val="center"/>
      </w:pPr>
      <w:r>
        <w:t>参考文献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[1] 张三, 李四. 示例期刊论文题名[J]. 示例期刊, 2020, 12(3): 45-56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[2] 王五. 示例图书题名[M]. 示例市: 示例出版社, 2019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[3] 赵六. 示例学位论文题名[D]. 示例市: 示例大学, 2021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[4] 钱七. 示例会议论文题名[C]//示例会议论文集. 示例市: 示例出版社, 2022: 78-85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[5] 示例标准化技术委员会. 示例标准题名: 示例标准编号[S]. 示例市: 示例出版社, 2018</w:t>
      </w:r>
    </w:p>
    <w:p>
      <w:pPr>
        <w:spacing w:line="360" w:lineRule="auto" w:after="60"/>
        <w:ind w:hanging="420" w:left="420"/>
        <w:jc w:val="both"/>
      </w:pPr>
      <w:r>
        <w:rPr>
          <w:rFonts w:ascii="Times New Roman" w:hAnsi="Times New Roman" w:eastAsia="宋体"/>
          <w:b w:val="0"/>
          <w:sz w:val="21"/>
        </w:rPr>
        <w:t>[6] 孙八. 示例网页题名[EB/OL]. (2023-01-01)[2023-06-05]. https://example.com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条目按文献类型组织，传入时不带序号：期刊以 [J] 标注，图书 [M]，会议论文 [C]，学位论文 [D]，标准 [S]，电子资源 [EB/OL] 并附更新日期与访问路径。多作者用逗号分隔，三位以上作者取前三名加“等”或"et al"。章节标题默认为“参考文献”，可通过 title 参数自定义。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4.6 表格框图流程图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流程图由 Word 表格与 Unicode 箭头构成，不使用图片，不使用 emoji，产物在任何 Word 版本中均可编辑。纵向流程图由横向箭头行与向下箭头交替堆叠而成，以信号处理流程为例：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"① 时域采样", "离散信号 x(n)")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"② 加窗处理", "加窗信号")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"③ 离散傅里叶变换", "频谱 X(k)",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add_arrow_row(doc, "④ 频谱分析", "特征向量", left_shade="D9D9D9")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add_separator_note(doc, "----- 信号预处理止于此处，后续由分类器承接 -----")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add_arrow_down(doc)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"分类决策：特征归一化 / 模式匹配 / 结果输出")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"信号处理与分类流程图")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① 时域采样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离散信号 x(n)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② 加窗处理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加窗信号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③ 离散傅里叶变换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频谱 X(k)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none" w:sz="4" w:space="0" w:color="auto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34"/>
        <w:gridCol w:w="3401"/>
      </w:tblGrid>
      <w:tr>
        <w:tc>
          <w:tcPr>
            <w:tcW w:type="dxa" w:w="3402"/>
            <w:shd w:val="clear" w:color="auto" w:fill="D9D9D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④ 频谱分析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8"/>
              </w:rPr>
              <w:t>→</w:t>
            </w:r>
          </w:p>
        </w:tc>
        <w:tc>
          <w:tcPr>
            <w:tcW w:type="dxa" w:w="340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特征向量</w:t>
            </w:r>
          </w:p>
        </w:tc>
      </w:tr>
    </w:tbl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p>
      <w:pPr>
        <w:spacing w:before="160" w:after="160"/>
        <w:ind w:firstLine="0"/>
        <w:jc w:val="center"/>
      </w:pPr>
      <w:r>
        <w:rPr>
          <w:rFonts w:ascii="宋体" w:hAnsi="宋体" w:eastAsia="宋体"/>
          <w:b w:val="0"/>
          <w:sz w:val="21"/>
        </w:rPr>
        <w:t>----- 信号预处理止于此处，后续由分类器承接 -----</w:t>
      </w:r>
    </w:p>
    <w:p>
      <w:pPr>
        <w:spacing w:before="40" w:after="40"/>
        <w:ind w:firstLine="0"/>
        <w:jc w:val="center"/>
      </w:pPr>
      <w:r>
        <w:rPr>
          <w:rFonts w:ascii="宋体" w:hAnsi="宋体" w:eastAsia="宋体"/>
          <w:b/>
          <w:sz w:val="32"/>
        </w:rPr>
        <w:t>↓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分类决策：特征归一化 / 模式匹配 / 结果输出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信号处理与分类流程图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表8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构件函数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5783"/>
      </w:tblGrid>
      <w:tr>
        <w:tc>
          <w:tcPr>
            <w:tcW w:type="dxa" w:w="238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函数</w:t>
            </w:r>
          </w:p>
        </w:tc>
        <w:tc>
          <w:tcPr>
            <w:tcW w:type="dxa" w:w="578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单个居中框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add_multi_line_box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多行文字框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add_multi_col_table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并排框行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add_arrow_down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居中向下箭头，连接上下框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add_arrow_horizontal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独立居中横向箭头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add_arrow_row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横向箭头行，表达过程到产出的转换</w:t>
            </w:r>
          </w:p>
        </w:tc>
      </w:tr>
      <w:tr>
        <w:tc>
          <w:tcPr>
            <w:tcW w:type="dxa" w:w="238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add_separator_note</w:t>
            </w:r>
          </w:p>
        </w:tc>
        <w:tc>
          <w:tcPr>
            <w:tcW w:type="dxa" w:w="578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居中虚线分隔注释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并排框用于表达地位相等的并列分支，多行框用于容纳多行文字；横向箭头是独立居中一行的箭头，不与任何表格绑定，用于表达同一行内的前后关系。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横向箭头行是本技能的特色构件。采用 3 列表格实现，左右等宽并锁定固定布局，箭头恒位于整表几何中心，与两侧文字长短无关；中间竖线融合后左右单元格视觉连通。固定布局同时保证换页、缩放或在不同 Word 版本中打开时列宽不发生重排。左右地位相等时不加底纹，层级不同时可传 left_shade 参数生成左灰右白效果，用于表达预处理阶段向决策阶段一类的层级转换。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4.7 分层架构图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add_layered_architecture 以表格框图堆叠表达多层架构，全宽层与并列层可混合使用，层间自动插入间隔段落。以信号处理系统为例：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add_layered_architecture(doc,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["采集层：传感器阵列 / 信号调理 / 抗混叠滤波"],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["预处理层：去直流 / 滤波 / 加窗"],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[["变换模块", "快速傅里叶变换"],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["分析模块", "频带能量 / 谱质心"],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["决策模块", "模式匹配 / 阈值判断"]],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["应用层：频谱显示 / 报告输出"],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], col_widths=[4.0, 5.0, 5.0])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全宽层与并列层的每个框首行均为加粗名称。整图总宽只有一个来源：传 col_widths 时其和即总宽，全宽层与并列层共用同一个总宽（上下框体必然等宽）；只传 width_cm（默认 14cm）时它即总宽，并列层按总宽均分。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采集层：传感器阵列 / 信号调理 / 抗混叠滤波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预处理层：去直流 / 滤波 / 加窗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2834"/>
      </w:tblGrid>
      <w:tr>
        <w:tc>
          <w:tcPr>
            <w:tcW w:type="dxa" w:w="226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变换模块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快速傅里叶变换</w:t>
            </w:r>
          </w:p>
        </w:tc>
        <w:tc>
          <w:tcPr>
            <w:tcW w:type="dxa" w:w="283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分析模块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频带能量 / 谱质心</w:t>
            </w:r>
          </w:p>
        </w:tc>
        <w:tc>
          <w:tcPr>
            <w:tcW w:type="dxa" w:w="28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决策模块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模式匹配 / 阈值判断</w:t>
            </w:r>
          </w:p>
        </w:tc>
      </w:tr>
    </w:tbl>
    <w:p>
      <w:pPr>
        <w:spacing w:before="0" w:after="0" w:line="240" w:lineRule="auto"/>
        <w:ind w:firstLine="0"/>
      </w:pPr>
      <w:r>
        <w:rPr>
          <w:sz w:val="12"/>
        </w:rPr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937"/>
      </w:tblGrid>
      <w:tr>
        <w:tc>
          <w:tcPr>
            <w:tcW w:type="dxa" w:w="793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after="40"/>
              <w:ind w:firstLine="0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应用层：频谱显示 / 报告输出</w:t>
            </w:r>
          </w:p>
        </w:tc>
      </w:tr>
    </w:tbl>
    <w:p>
      <w:pPr>
        <w:spacing w:before="120" w:after="240"/>
        <w:ind w:firstLine="0"/>
        <w:jc w:val="center"/>
      </w:pPr>
      <w:r>
        <w:rPr>
          <w:rFonts w:ascii="宋体" w:hAnsi="宋体" w:eastAsia="宋体"/>
          <w:b/>
          <w:sz w:val="21"/>
        </w:rPr>
        <w:t>图3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信号处理系统分层架构</w:t>
      </w:r>
    </w:p>
    <w:p>
      <w:pPr>
        <w:pStyle w:val="Heading2"/>
        <w:spacing w:line="360" w:lineRule="auto" w:before="240" w:after="120"/>
        <w:ind w:firstLine="0"/>
        <w:jc w:val="left"/>
      </w:pPr>
      <w:r>
        <w:t>4.8 图表自动编号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图标题与表标题由内部计数器自动编号，无需手动填写编号。图标题位于图下方，表标题位于表上方，两类编号相互独立。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表下方的间距由 add_data_table 自动处理：它会在表格末尾追加一个间距段（默认 12pt，读预设 `table.gap_after`），无需手工补空行。原因是 Word 的间距只属于段落，表格自身没有段后属性——表名位于表上方、其段后 6pt 垫在表名与表之间，而表后若无段落，后续正文就会直接贴合表格底边。该行为恒定生效，后续无论是正文还是图标题都同样追加。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add_box(doc, "系统架构")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add_fig_caption(doc, "信号处理系统架构")    # 自动生成 图1 信号处理系统架构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"参数对比")          # 自动生成 表1 参数对比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 headers, rows, col_widths)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setup_document 自动调用 reset_counters，每次生成文档均从图1与表1开始。add_fig_caption 传入空字符串时生成纯间距段落且不递增编号。add_note 在图下方添加居中斜体图注。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4.9 代码块与数据表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add_code_block 以 Consolas 等宽字体渲染代码内容，默认 9pt，浅灰底纹，无首行缩进，逐行成段：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add_code_block(doc, "python docx_validator.py output.docx --verbose")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add_data_table 生成数据型表格，灰色表头黑体加粗居中，固定列宽，数据行末列左对齐、其余列居中：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add_table_caption(doc, "排版标准")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add_data_table(doc,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["元素", "字体", "字号"],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[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("文档标题", "黑体", "三号 16pt"),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("正文", "宋体", "小四 12pt"),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],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col_widths=[2.2, 1.8, 2.0])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add_math_to_cell 向表格单元格插入行内 OMML 公式，适用于函数调用与渲染效果对照一类的场景，下表第三列为单元格内原生公式：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表9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公式构建函数与渲染效果对照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3288"/>
        <w:gridCol w:w="3515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构建函数</w:t>
            </w:r>
          </w:p>
        </w:tc>
        <w:tc>
          <w:tcPr>
            <w:tcW w:type="dxa" w:w="328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调用形式</w:t>
            </w:r>
          </w:p>
        </w:tc>
        <w:tc>
          <w:tcPr>
            <w:tcW w:type="dxa" w:w="3515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渲染效果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下标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sub("a", "k")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上标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sup("x", "2")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分式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frac([r("η")], [r("N")])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f>
                <m:num>
                  <m:r>
                    <m:t>η</m:t>
                  </m:r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求和</w:t>
            </w:r>
          </w:p>
        </w:tc>
        <w:tc>
          <w:tcPr>
            <w:tcW w:type="dxa" w:w="328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sumOp([r("k")], [sub("a", "k")])</w:t>
            </w:r>
          </w:p>
        </w:tc>
        <w:tc>
          <w:tcPr>
            <w:tcW w:type="dxa" w:w="3515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</w:r>
            <m:oMath>
              <m:sSub>
                <m:sSubPr/>
                <m:e>
                  <m:r>
                    <m:t>∑</m:t>
                  </m:r>
                </m:e>
                <m:sub>
                  <m:r>
                    <m:t>k</m:t>
                  </m:r>
                </m:sub>
              </m:sSub>
              <m:sSub>
                <m:sSubPr/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辅助函数 set_table_border 与 set_cell_shading 分别控制表格边框与单元格底纹。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4.10 封面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封面按需生成，默认不插入，由 add_cover_page 生成，须在写任何其它内容之前调用。封面为居中标题块：大标题黑体 26pt、副标题黑体 20pt、单位与日期宋体 15pt，其中副标题、单位、日期都可以省略，省略则该行不生成。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"文档标题", subtitle="技术方案",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   org="某某科技有限公司", date="2026年9月")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表10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封面版式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587"/>
        <w:gridCol w:w="3629"/>
      </w:tblGrid>
      <w:tr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元素</w:t>
            </w:r>
          </w:p>
        </w:tc>
        <w:tc>
          <w:tcPr>
            <w:tcW w:type="dxa" w:w="147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字体</w:t>
            </w:r>
          </w:p>
        </w:tc>
        <w:tc>
          <w:tcPr>
            <w:tcW w:type="dxa" w:w="158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字号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段后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大标题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26pt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8pt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副标题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黑体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20pt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60pt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单位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日期</w:t>
            </w:r>
          </w:p>
        </w:tc>
        <w:tc>
          <w:tcPr>
            <w:tcW w:type="dxa" w:w="147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宋体</w:t>
            </w:r>
          </w:p>
        </w:tc>
        <w:tc>
          <w:tcPr>
            <w:tcW w:type="dxa" w:w="158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15pt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段前 8pt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标题块用顶部留白定位，而不是垂直居中：标题块距版心顶端一段按比例算出的距离，下方留白自然延伸。默认留白比例为 0.264，A4 纸张下留白 6.50cm，大标题段起点距页顶约 9.04cm（页面高度 30.4%）；行数少的封面大标题上缘位置不变，下方留白自然更大。留白高度不写死行数，而是先由纸张高与上下页边距算出版心高，再乘以封面留白比例，换算为若干固定行距的空段落，不足一段的余数挂到大标题段的段前。因此换纸张、改页边距或整套切换预设时，封面位置自动等比适配，不需要手工调整。留白空段使用固定行距，每段高度严格等于设定值，总留白与目标值之间的误差远小于 1 磅。留白比例上限为 0.5，超过半个版心会把标题块挤到第二页。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封面独立成一节，不显示页码；其后的目录节同样不显示页码，正文从第 1 页起算。用了封面就不必再调用 add_title。留白由空段落构成，Word 与 WPS 正常渲染；若交付链路中经过会剥离空段落的 docx 转网页转换器，留白可能丢失。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4.11 目录生成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目录按需生成，默认不插入。标题函数使用 Word 内置 Heading 样式，add_toc 在封面之后、正文之前插入目录域，在 Word 中按住 Ctrl 并点击条目可跳转至对应标题。Word 打开文档时提示更新域，选择"是"即生成目录条目；目录条目由域在 Word 更新时计算生成，更新前显示占位文字。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add_title(doc, "实验报告")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add_toc(doc)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表11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目录条目格式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361"/>
        <w:gridCol w:w="1020"/>
        <w:gridCol w:w="850"/>
        <w:gridCol w:w="1247"/>
        <w:gridCol w:w="1077"/>
        <w:gridCol w:w="680"/>
        <w:gridCol w:w="680"/>
        <w:gridCol w:w="1249"/>
      </w:tblGrid>
      <w:tr>
        <w:tc>
          <w:tcPr>
            <w:tcW w:type="dxa" w:w="13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元素</w:t>
            </w:r>
          </w:p>
        </w:tc>
        <w:tc>
          <w:tcPr>
            <w:tcW w:type="dxa" w:w="102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对应标题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字体</w:t>
            </w:r>
          </w:p>
        </w:tc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字号</w:t>
            </w:r>
          </w:p>
        </w:tc>
        <w:tc>
          <w:tcPr>
            <w:tcW w:type="dxa" w:w="107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行距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段前</w:t>
            </w:r>
          </w:p>
        </w:tc>
        <w:tc>
          <w:tcPr>
            <w:tcW w:type="dxa" w:w="68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段后</w:t>
            </w:r>
          </w:p>
        </w:tc>
        <w:tc>
          <w:tcPr>
            <w:tcW w:type="dxa" w:w="124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章标题行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黑体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居左不缩进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1 个汉字符</w:t>
            </w:r>
          </w:p>
        </w:tc>
      </w:tr>
      <w:tr>
        <w:tc>
          <w:tcPr>
            <w:tcW w:type="dxa" w:w="13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二级节标题行</w:t>
            </w:r>
          </w:p>
        </w:tc>
        <w:tc>
          <w:tcPr>
            <w:tcW w:type="dxa" w:w="102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宋体</w:t>
            </w:r>
          </w:p>
        </w:tc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小四 12pt</w:t>
            </w:r>
          </w:p>
        </w:tc>
        <w:tc>
          <w:tcPr>
            <w:tcW w:type="dxa" w:w="107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固定 20pt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68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24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缩进 2 个汉字符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目录标题黑体三号居中。目录内的章标题行用黑体小四，一级节标题行与二级节标题行用宋体小四，行距统一为固定值 20 磅；章标题行段前 6 磅、段后 0 磅并居左书写，一级节标题行缩进 1 个汉字符，二级节标题行缩进 2 个汉字符，这两种节标题行的段前段后均为 0 磅。三种条目依次对应文档的一级、二级、三级标题。默认层级为 1 到 3 级，传入 levels 参数可只收一至二级，文档主标题不进入目录。目录条目默认在 Word 打开文档时提示更新域并生成，由文档设置中的 w:updateFields 开关实现；传入 auto_update=False 可关闭该行为，改为在目录上右键选择更新域手动生成。目录末尾为分节符，与正文分隔并触发正文页码从 1 起算。目录条目的字体严格按上述格式呈现：章标题行黑体，一级与二级节标题行宋体。Word 更新目录域时会把标题文字的直接字符格式搬进条目，而本技能的标题一律不在文字上设字体、只把字符格式写在 Heading 样式里，Word 因此无从覆盖，条目字体不会被标题的黑体带跑。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4.12 页码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封面页与目录页不显示页码，页码从正文第一页起算为 1。无封面、无目录的单节文档无需处理，setup_document 已让页码从第 1 页连续编号；含目录的文档由 add_toc 自动分节，无需额外调用；有封面但不生成目录的文档，需在正文第一个标题前手动调用 start_body。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 = setup_document()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add_cover_page(doc, "实验报告")   # 封面页，不显示页码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start_body(doc)                  # 正文另起一页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add_h1(doc, "一、概述")           # 页码为 1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add_body(doc, "正文内容")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表12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分节的调用时机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3629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文档结构</w:t>
            </w:r>
          </w:p>
        </w:tc>
        <w:tc>
          <w:tcPr>
            <w:tcW w:type="dxa" w:w="24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是否需要手动调用 start_body</w:t>
            </w:r>
          </w:p>
        </w:tc>
        <w:tc>
          <w:tcPr>
            <w:tcW w:type="dxa" w:w="3629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无封面、无目录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setup_document 已让页码从第 1 页起连续编号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有目录（无论有无封面）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不需要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add_toc 末尾已自动调用 start_body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有封面但无目录</w:t>
            </w:r>
          </w:p>
        </w:tc>
        <w:tc>
          <w:tcPr>
            <w:tcW w:type="dxa" w:w="24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需要</w:t>
            </w:r>
          </w:p>
        </w:tc>
        <w:tc>
          <w:tcPr>
            <w:tcW w:type="dxa" w:w="362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在正文第一个标题前手动调用 start_body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start_body 把此前所有节的页脚清空（封面与目录各自成节，因此都被清空），使封面与目录不显示页码；随后新建一节，页面参数沿用预设，分节符类型为下一页，因此兼作封面或目录与正文之间的分页，不要再另加分页符。正文节通过 w:pgNumType 将页码起始值设为预设 page.body_page_start，默认 1，页脚沿用居中五号 Times New Roman 的 PAGE 域。重复调用 start_body 不会重复分节，第二次起为空操作。封面以分节符结束时末节仍是空的，此时 start_body 直接复用该节作为正文节而不再新建，add_toc 也会跳过自己的前导分页符，两者共同避免多出空白页。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4.13 轻量文档验证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docx_validator.py 基于纯 Python 标准库实现，无外部依赖，在文档生成后执行 5 项结构检查：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表13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轻量验证检查项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123"/>
      </w:tblGrid>
      <w:tr>
        <w:tc>
          <w:tcPr>
            <w:tcW w:type="dxa" w:w="204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检查项</w:t>
            </w:r>
          </w:p>
        </w:tc>
        <w:tc>
          <w:tcPr>
            <w:tcW w:type="dxa" w:w="612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ZIP 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ZIP 条目均可解压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XML 格式良好性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所有 XML 与关系文件可被解析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文件引用完整性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关系文件中每个目标在包内存在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内容类型声明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包内 XML 文件均有内容类型声明</w:t>
            </w:r>
          </w:p>
        </w:tc>
      </w:tr>
      <w:tr>
        <w:tc>
          <w:tcPr>
            <w:tcW w:type="dxa" w:w="204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空白保留</w:t>
            </w:r>
          </w:p>
        </w:tc>
        <w:tc>
          <w:tcPr>
            <w:tcW w:type="dxa" w:w="612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含首尾空白的文本节点均带保留属性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docx_validator.py output.docx --verbose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全部检查通过时退出码为 0，否则为 1。</w:t>
      </w:r>
    </w:p>
    <w:p>
      <w:pPr>
        <w:pStyle w:val="Heading2"/>
        <w:spacing w:line="360" w:lineRule="auto" w:before="240" w:after="120"/>
        <w:ind w:firstLine="0"/>
        <w:jc w:val="left"/>
      </w:pPr>
      <w:r>
        <w:t>4.14 安全解压与重打包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safe_extract 在解压 .docx 时拒绝符号链接并校验路径边界，防止路径遍历攻击；rezip 将目录重新打包为 .docx，确保 [Content_Types].xml 首位存储并原子写入目标文件。二者构成编辑现有文档的安全基础。</w:t>
      </w:r>
    </w:p>
    <w:p>
      <w:pPr>
        <w:pStyle w:val="Heading1"/>
        <w:spacing w:line="360" w:lineRule="auto" w:before="480" w:after="120"/>
        <w:ind w:firstLine="0"/>
        <w:jc w:val="left"/>
      </w:pPr>
      <w:r>
        <w:t>五、可选模块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以下模块默认不启用、不检查环境、不安装依赖，仅当明确要求对应功能时使用。</w:t>
      </w:r>
    </w:p>
    <w:p>
      <w:pPr>
        <w:pStyle w:val="Heading2"/>
        <w:spacing w:line="360" w:lineRule="auto" w:before="240" w:after="120"/>
        <w:ind w:firstLine="0"/>
        <w:jc w:val="left"/>
      </w:pPr>
      <w:r>
        <w:t>5.1 PDF 渲染验证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将生成的 .docx 转换为 PDF 进行视觉检查。两条路径按平台择一使用：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表14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PDF 渲染的两条路径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907"/>
        <w:gridCol w:w="3061"/>
      </w:tblGrid>
      <w:tr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09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依赖</w:t>
            </w:r>
          </w:p>
        </w:tc>
        <w:tc>
          <w:tcPr>
            <w:tcW w:type="dxa" w:w="90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适用平台</w:t>
            </w:r>
          </w:p>
        </w:tc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脚本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 Word（Windows 首选）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Microsoft Word + `pip install pywin32`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Windows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`scripts/optional/office/word2pdf.py`</w:t>
            </w:r>
          </w:p>
        </w:tc>
      </w:tr>
      <w:tr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</w:t>
            </w:r>
          </w:p>
        </w:tc>
        <w:tc>
          <w:tcPr>
            <w:tcW w:type="dxa" w:w="209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LibreOffice（`soffice` 命令行）</w:t>
            </w:r>
          </w:p>
        </w:tc>
        <w:tc>
          <w:tcPr>
            <w:tcW w:type="dxa" w:w="90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跨平台</w:t>
            </w:r>
          </w:p>
        </w:tc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`scripts/optional/office/soffice.py`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Windows 上本机装有 Word 时优先使用 Word 路径。该路径调用 Word 自身的排版引擎，中文字体、OMML 公式、目录域与页脚页码分节均与在 Word 中打开时一致，较 LibreOffice 更贴近真实 Word 渲染效果。导出前先更新域，目录不会残留占位文字；每次使用独立的 Word 实例、文档以只读方式打开，导出后关闭文档并退出该实例，不干扰用户已打开的 Word 窗口，也不残留后台 WINWORD.EXE 进程。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Windows：默认输出到源文件同目录同名（output.docx → output.pdf）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指定输出文件或输出目录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-o dist/output.pdf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--outdir ./pdf_out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导出 PDF/A-1b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scripts/optional/office/word2pdf.py output.docx --pdfa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其他平台或用 LibreOffice 时：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scripts/optional/office/soffice.py convert output.docx --outdir ./pdf_out</w:t>
      </w:r>
    </w:p>
    <w:p>
      <w:pPr>
        <w:pStyle w:val="Heading2"/>
        <w:spacing w:line="360" w:lineRule="auto" w:before="240" w:after="120"/>
        <w:ind w:firstLine="0"/>
        <w:jc w:val="left"/>
      </w:pPr>
      <w:r>
        <w:t>5.2 XSD 模式验证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 .docx 内的 XML 部件执行 OOXML 模式深度验证，比轻量验证更严格，依赖 defusedxml：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python scripts/optional/office/validate.py output.docx</w:t>
      </w:r>
    </w:p>
    <w:p>
      <w:pPr>
        <w:pStyle w:val="Heading2"/>
        <w:spacing w:line="360" w:lineRule="auto" w:before="240" w:after="120"/>
        <w:ind w:firstLine="0"/>
        <w:jc w:val="left"/>
      </w:pPr>
      <w:r>
        <w:t>5.3 编辑现有文档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修改已有 .docx 文件内容，工作流为安全解压、合并碎片 run、编辑 XML、重新打包、验证，其中合并碎片 run 依赖 defusedxml，安全解压与重打包为纯标准库实现：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from docx_layout_kit import safe_extract, rezip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import zipfile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with zipfile.ZipFile("input.docx", "r") as zf: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safe_extract(zf, "./unpacked")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# 编辑 XML 后重新打包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rezip("./unpacked", "output.docx")</w:t>
      </w:r>
    </w:p>
    <w:p>
      <w:pPr>
        <w:pStyle w:val="Heading2"/>
        <w:spacing w:line="360" w:lineRule="auto" w:before="240" w:after="120"/>
        <w:ind w:firstLine="0"/>
        <w:jc w:val="left"/>
      </w:pPr>
      <w:r>
        <w:t>5.4 追踪修订与批注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accept_changes.py 通过 LibreOffice 宏接受文档中的所有追踪修订，依赖 LibreOffice；comment.py 管理批注，维护 6 个批注相关文件的交叉链接系统，依赖 defusedxml，批注 XML 模板位于 scripts/optional/templates。</w:t>
      </w:r>
    </w:p>
    <w:p>
      <w:pPr>
        <w:pStyle w:val="Heading1"/>
        <w:spacing w:line="360" w:lineRule="auto" w:before="480" w:after="120"/>
        <w:ind w:firstLine="0"/>
        <w:jc w:val="left"/>
      </w:pPr>
      <w:r>
        <w:t>六、排版标准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页面为 A4 纸张，页边距上下 2.54cm、左右 3.18cm，正文行距 1.5 倍。页脚居中放置页码，五号 Times New Roman，由 PAGE 域自动编号；含封面或目录时前置部分不显示页码，正文从第 1 页起算。封面标题块用顶部留白定位，留白高度按版心高比例换算，换纸张或页边距时自动等比适配。中西文字体分离：正文西文用 Times New Roman 衬线体，标题西文用 Arial 无衬线体。间距体系对齐 NJUThesis LaTeX 模板，该模板全局行距倍数为 1.625，与 Word 1.5 倍行距的视觉效果一致。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表15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排版标准</w:t>
      </w:r>
    </w:p>
    <w:tbl>
      <w:tblPr>
        <w:tblStyle w:val="TableGrid"/>
        <w:tblW w:type="dxa" w:w="7937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1134"/>
        <w:gridCol w:w="3118"/>
        <w:gridCol w:w="794"/>
        <w:gridCol w:w="794"/>
      </w:tblGrid>
      <w:tr>
        <w:tc>
          <w:tcPr>
            <w:tcW w:type="dxa" w:w="1247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元素</w:t>
            </w:r>
          </w:p>
        </w:tc>
        <w:tc>
          <w:tcPr>
            <w:tcW w:type="dxa" w:w="850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字体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字号</w:t>
            </w:r>
          </w:p>
        </w:tc>
        <w:tc>
          <w:tcPr>
            <w:tcW w:type="dxa" w:w="3118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样式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段前</w:t>
            </w:r>
          </w:p>
        </w:tc>
        <w:tc>
          <w:tcPr>
            <w:tcW w:type="dxa" w:w="794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8"/>
              </w:rPr>
              <w:t>段后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文档标题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一号 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一级标题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三号 16pt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24pt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二级标题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三级标题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加粗左对齐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正文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两端对齐，首行缩进 2 字符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分点段落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加粗标签加正文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块级公式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图标题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标签加粗，全角空格分隔，居中，位于图下方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五号 10.5pt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标签加粗，全角空格分隔，居中，位于表上方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表下间距段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空段，居中，固定行距 12pt，无文字；由 add_data_table 自动追加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封面·大标题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26pt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居中，位于顶部留白之后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封面·副标题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20pt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60pt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封面·单位与日期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15pt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居中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日期 8pt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目录·章标题行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黑体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居左，固定行距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6pt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目录·一级节标题行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1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24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目录·二级节标题行</w:t>
            </w:r>
          </w:p>
        </w:tc>
        <w:tc>
          <w:tcPr>
            <w:tcW w:type="dxa" w:w="850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宋体</w:t>
            </w:r>
          </w:p>
        </w:tc>
        <w:tc>
          <w:tcPr>
            <w:tcW w:type="dxa" w:w="113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小四 12pt</w:t>
            </w:r>
          </w:p>
        </w:tc>
        <w:tc>
          <w:tcPr>
            <w:tcW w:type="dxa" w:w="3118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缩进 2 个汉字符，固定行距 20pt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794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七、环境要求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核心排版功能仅依赖两项，Python 3.8 及以上版本与 python-docx：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pip install python-docx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可选功能默认不安装、不检查任何依赖，仅在明确要求对应功能时按需安装：</w:t>
      </w:r>
    </w:p>
    <w:p>
      <w:pPr>
        <w:spacing w:before="240" w:after="120"/>
        <w:ind w:firstLine="0"/>
        <w:jc w:val="center"/>
      </w:pPr>
      <w:r>
        <w:rPr>
          <w:rFonts w:ascii="宋体" w:hAnsi="宋体" w:eastAsia="宋体"/>
          <w:b/>
          <w:sz w:val="21"/>
        </w:rPr>
        <w:t>表16</w:t>
      </w:r>
      <w:r>
        <w:rPr>
          <w:rFonts w:ascii="宋体" w:hAnsi="宋体" w:eastAsia="宋体"/>
          <w:b w:val="0"/>
          <w:sz w:val="21"/>
        </w:rPr>
        <w:t xml:space="preserve">　</w:t>
      </w:r>
      <w:r>
        <w:rPr>
          <w:rFonts w:ascii="宋体" w:hAnsi="宋体" w:eastAsia="宋体"/>
          <w:b w:val="0"/>
          <w:sz w:val="21"/>
        </w:rPr>
        <w:t>可选功能与依赖</w:t>
      </w:r>
    </w:p>
    <w:tbl>
      <w:tblPr>
        <w:tblStyle w:val="TableGrid"/>
        <w:tblW w:type="dxa" w:w="816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061"/>
        <w:gridCol w:w="5103"/>
      </w:tblGrid>
      <w:tr>
        <w:tc>
          <w:tcPr>
            <w:tcW w:type="dxa" w:w="3061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可选功能</w:t>
            </w:r>
          </w:p>
        </w:tc>
        <w:tc>
          <w:tcPr>
            <w:tcW w:type="dxa" w:w="5103"/>
            <w:shd w:val="clear" w:color="auto" w:fill="D9D9D9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需要什么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渲染验证（Windows Word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本机 Microsoft Word 与 `pywin32`（`pip install pywin32`）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PDF 渲染验证（LibreOffice 路径）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LibreOffice（`soffice` 命令行）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接受全部追踪修订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LibreOffice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XSD 模式验证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编辑现有文档与批注管理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`defusedxml`</w:t>
            </w:r>
          </w:p>
        </w:tc>
      </w:tr>
      <w:tr>
        <w:tc>
          <w:tcPr>
            <w:tcW w:type="dxa" w:w="3061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追踪修订核验（validate.py --author）</w:t>
            </w:r>
          </w:p>
        </w:tc>
        <w:tc>
          <w:tcPr>
            <w:tcW w:type="dxa" w:w="5103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ind w:firstLine="0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`git` 命令行</w:t>
            </w:r>
          </w:p>
        </w:tc>
      </w:tr>
    </w:tbl>
    <w:p>
      <w:pPr>
        <w:rPr>
          <w:sz w:val="24"/>
          <w:szCs w:val="24"/>
        </w:rPr>
        <w:ind w:firstLine="0"/>
        <w:jc w:val="center"/>
        <w:spacing w:line="240" w:lineRule="exact" w:before="0" w:after="0"/>
      </w:pPr>
      <w:r>
        <w:rPr>
          <w:sz w:val="24"/>
          <w:szCs w:val="24"/>
        </w:rPr>
      </w:r>
    </w:p>
    <w:p>
      <w:pPr>
        <w:pStyle w:val="Heading1"/>
        <w:spacing w:line="360" w:lineRule="auto" w:before="480" w:after="120"/>
        <w:ind w:firstLine="0"/>
        <w:jc w:val="left"/>
      </w:pPr>
      <w:r>
        <w:t>八、文件结构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docx-formatter/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SKILL.md                    # 技能指令文件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README.md                   # 项目说明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README.docx                 # 排版效果样例（由 scripts/_build_readme_docx.py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README.pdf                  # README.docx 的 PDF 渲染结果（由 scripts/optional/office/word2pdf.py 生成）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assets/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│   └── effect-overview.png     # README 开头的技能效果示意图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├── LICENSE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>└── scripts/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docx_layout_kit.py    # 文档构建库，排版与公式插入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omml_math_kit.py      # OMML 数学元素构建器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formula_templates.py  # 预定义公式模板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docx_validator.py     # 轻量验证脚本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├── _build_readme_docx.py # 标准骨架范例，生成文档前先阅读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└── optional/             # 可选功能脚本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merge_runs.py     # 合并碎片 run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accept_changes.py # 接受所有追踪修订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comment.py        # 批注管理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├── templates/        # 批注 XML 模板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└── office/           # 验证与转换工具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word2pdf.py   # Windows Word（COM）渲染 PDF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soffice.py    # LibreOffice 跨平台调用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validate.py   # XSD 模式验证入口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helpers/      # 通用辅助函数包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├── schemas/      # OOXML 模式文件</w:t>
      </w:r>
    </w:p>
    <w:p>
      <w:pPr>
        <w:shd w:val="clear" w:color="auto" w:fill="F2F2F2"/>
        <w:spacing w:line="276" w:lineRule="auto" w:before="0" w:after="0"/>
        <w:ind w:firstLine="0" w:left="360"/>
      </w:pPr>
      <w:r>
        <w:rPr>
          <w:rFonts w:ascii="Consolas" w:hAnsi="Consolas" w:eastAsia="宋体"/>
          <w:sz w:val="18"/>
        </w:rPr>
        <w:t xml:space="preserve">            └── validators/   # 验证器</w:t>
      </w:r>
    </w:p>
    <w:p>
      <w:pPr>
        <w:pStyle w:val="Heading1"/>
        <w:spacing w:line="360" w:lineRule="auto" w:before="480" w:after="120"/>
        <w:ind w:firstLine="0"/>
        <w:jc w:val="left"/>
      </w:pPr>
      <w:r>
        <w:t>九、使用方式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安装后在对话中直接描述需求即可触发技能：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把这段内容排版成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把这份 Markdown 转成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生成一份带公式的 Word 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排版一份技术报告为 Word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用数学方程格式化这段文档</w:t>
      </w:r>
    </w:p>
    <w:p>
      <w:pPr>
        <w:spacing w:line="360" w:lineRule="auto" w:after="140"/>
        <w:ind w:firstLine="480"/>
        <w:jc w:val="both"/>
      </w:pPr>
      <w:r>
        <w:rPr>
          <w:rFonts w:ascii="Times New Roman" w:hAnsi="Times New Roman" w:eastAsia="宋体"/>
          <w:b/>
          <w:sz w:val="24"/>
        </w:rPr>
        <w:t>在 Word 中创建流程图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可选功能需明确要求，例如将文档转为 PDF 查看效果、对文档添加批注、以追踪修订方式修改现有文档。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十、许可证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本项目采用 MIT 许可证，可自由使用、修改和分发。</w:t>
      </w:r>
    </w:p>
    <w:p>
      <w:pPr>
        <w:pStyle w:val="Heading1"/>
        <w:spacing w:line="360" w:lineRule="auto" w:before="480" w:after="120"/>
        <w:ind w:firstLine="0"/>
        <w:jc w:val="left"/>
      </w:pPr>
      <w:r>
        <w:t>十一、致谢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排版部分参考 </w:t>
      </w:r>
      <w:hyperlink r:id="rId13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NJUThesis</w:t>
        </w:r>
      </w:hyperlink>
      <w:r>
        <w:rPr>
          <w:rFonts w:ascii="Times New Roman" w:hAnsi="Times New Roman" w:eastAsia="宋体"/>
          <w:b w:val="0"/>
          <w:sz w:val="24"/>
        </w:rPr>
        <w:t xml:space="preserve"> LaTeX 模板，部分参考</w:t>
      </w:r>
      <w:hyperlink r:id="rId14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北京大学研究生学位论文写作指南</w:t>
        </w:r>
      </w:hyperlink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 xml:space="preserve">可选功能参考 </w:t>
      </w:r>
      <w:hyperlink r:id="rId15">
        <w:r>
          <w:rPr>
            <w:rFonts w:ascii="Times New Roman" w:hAnsi="Times New Roman" w:eastAsia="宋体"/>
            <w:b w:val="0"/>
            <w:color w:val="0563C1"/>
            <w:sz w:val="24"/>
            <w:u w:val="single"/>
          </w:rPr>
          <w:t>Anthropic 官方 docx 技能</w:t>
        </w:r>
      </w:hyperlink>
    </w:p>
    <w:sectPr w:rsidR="00FC693F" w:rsidRPr="0006063C" w:rsidSect="00034616">
      <w:footerReference w:type="default" r:id="rId11"/>
      <w:pgSz w:w="11906" w:h="16838"/>
      <w:pgMar w:top="1440" w:right="1803" w:bottom="1440" w:left="1803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eastAsia="黑体"/>
      <w:b w:val="1"/>
      <w:bCs w:val="1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eastAsia="黑体"/>
      <w:b w:val="1"/>
      <w:bCs w:val="1"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spacing w:line="400" w:lineRule="exact" w:before="120" w:after="0"/>
      <w:ind w:left="0" w:leftChars="0"/>
    </w:pPr>
    <w:rPr>
      <w:rFonts w:ascii="黑体" w:hAnsi="黑体" w:eastAsia="黑体"/>
      <w:b w:val="0"/>
      <w:bCs w:val="0"/>
      <w:sz w:val="24"/>
      <w:szCs w:val="24"/>
    </w:rPr>
  </w:style>
  <w:style w:type="paragraph" w:styleId="TOC2">
    <w:name w:val="TOC 2"/>
    <w:basedOn w:val="Normal"/>
    <w:pPr>
      <w:spacing w:line="400" w:lineRule="exact" w:before="0" w:after="0"/>
      <w:ind w:left="240" w:leftChars="100"/>
    </w:pPr>
    <w:rPr>
      <w:rFonts w:ascii="宋体" w:hAnsi="宋体" w:eastAsia="宋体"/>
      <w:b w:val="0"/>
      <w:bCs w:val="0"/>
      <w:sz w:val="24"/>
      <w:szCs w:val="24"/>
    </w:rPr>
  </w:style>
  <w:style w:type="paragraph" w:styleId="TOC3">
    <w:name w:val="TOC 3"/>
    <w:basedOn w:val="Normal"/>
    <w:pPr>
      <w:spacing w:line="400" w:lineRule="exact" w:before="0" w:after="0"/>
      <w:ind w:left="480" w:leftChars="200"/>
    </w:pPr>
    <w:rPr>
      <w:rFonts w:ascii="宋体" w:hAnsi="宋体" w:eastAsia="宋体"/>
      <w:b w:val="0"/>
      <w:bCs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hyperlink" Target="https://github.com/nju-lug/NJUThesis" TargetMode="External"/><Relationship Id="rId14" Type="http://schemas.openxmlformats.org/officeDocument/2006/relationships/hyperlink" Target="https://grs.pku.edu.cn/docs/2019-03/20190304101034750506.pdf" TargetMode="External"/><Relationship Id="rId15" Type="http://schemas.openxmlformats.org/officeDocument/2006/relationships/hyperlink" Target="https://github.com/anthropics/skills/tree/main/skills/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