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b/>
          <w:bCs/>
          <w:u w:val="single"/>
          <w:lang w:val="en"/>
        </w:rPr>
      </w:pPr>
      <w:r>
        <w:rPr>
          <w:rFonts w:hint="default"/>
          <w:b/>
          <w:bCs/>
          <w:u w:val="single"/>
          <w:lang w:val="en"/>
        </w:rPr>
        <w:t>GShare Predictor</w:t>
      </w:r>
    </w:p>
    <w:p>
      <w:pPr>
        <w:rPr>
          <w:rFonts w:hint="default"/>
          <w:b w:val="0"/>
          <w:bCs w:val="0"/>
          <w:lang w:val="en"/>
        </w:rPr>
      </w:pPr>
      <w:r>
        <w:rPr>
          <w:rFonts w:hint="default"/>
          <w:b w:val="0"/>
          <w:bCs w:val="0"/>
          <w:lang w:val="en"/>
        </w:rPr>
        <w:t xml:space="preserve">The only relevant parameter for GShare predictor is G, which determines the length of GHR and the number entries in the pattern table. The only valid range considering the size limit is [12, 14], inclusive. The observed pattern is very clear in all traces. The prediction accuracy increases with increasing G. We believe that this is due to that larger G has a greater ability to capture patterns in the program. </w:t>
      </w:r>
    </w:p>
    <w:p>
      <w:pPr>
        <w:rPr>
          <w:rFonts w:hint="default"/>
          <w:b w:val="0"/>
          <w:bCs w:val="0"/>
          <w:lang w:val="en"/>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2130"/>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30" w:type="dxa"/>
          </w:tcPr>
          <w:p>
            <w:pPr>
              <w:jc w:val="center"/>
              <w:rPr>
                <w:rFonts w:hint="default"/>
                <w:b w:val="0"/>
                <w:bCs w:val="0"/>
                <w:vertAlign w:val="baseline"/>
                <w:lang w:val="en"/>
              </w:rPr>
            </w:pPr>
            <w:r>
              <w:rPr>
                <w:rFonts w:hint="default"/>
                <w:b w:val="0"/>
                <w:bCs w:val="0"/>
                <w:vertAlign w:val="baseline"/>
                <w:lang w:val="en"/>
              </w:rPr>
              <w:t>Trace / accuracy</w:t>
            </w:r>
          </w:p>
        </w:tc>
        <w:tc>
          <w:tcPr>
            <w:tcW w:w="2130" w:type="dxa"/>
          </w:tcPr>
          <w:p>
            <w:pPr>
              <w:jc w:val="center"/>
              <w:rPr>
                <w:rFonts w:hint="default"/>
                <w:b w:val="0"/>
                <w:bCs w:val="0"/>
                <w:vertAlign w:val="baseline"/>
                <w:lang w:val="en"/>
              </w:rPr>
            </w:pPr>
            <w:r>
              <w:rPr>
                <w:rFonts w:hint="default"/>
                <w:b w:val="0"/>
                <w:bCs w:val="0"/>
                <w:vertAlign w:val="baseline"/>
                <w:lang w:val="en"/>
              </w:rPr>
              <w:t>G=12</w:t>
            </w:r>
          </w:p>
        </w:tc>
        <w:tc>
          <w:tcPr>
            <w:tcW w:w="2131" w:type="dxa"/>
          </w:tcPr>
          <w:p>
            <w:pPr>
              <w:jc w:val="center"/>
              <w:rPr>
                <w:rFonts w:hint="default"/>
                <w:b w:val="0"/>
                <w:bCs w:val="0"/>
                <w:vertAlign w:val="baseline"/>
                <w:lang w:val="en"/>
              </w:rPr>
            </w:pPr>
            <w:r>
              <w:rPr>
                <w:rFonts w:hint="default"/>
                <w:b w:val="0"/>
                <w:bCs w:val="0"/>
                <w:vertAlign w:val="baseline"/>
                <w:lang w:val="en"/>
              </w:rPr>
              <w:t>G=13</w:t>
            </w:r>
          </w:p>
        </w:tc>
        <w:tc>
          <w:tcPr>
            <w:tcW w:w="2131" w:type="dxa"/>
          </w:tcPr>
          <w:p>
            <w:pPr>
              <w:jc w:val="center"/>
              <w:rPr>
                <w:rFonts w:hint="default"/>
                <w:b w:val="0"/>
                <w:bCs w:val="0"/>
                <w:vertAlign w:val="baseline"/>
                <w:lang w:val="en"/>
              </w:rPr>
            </w:pPr>
            <w:r>
              <w:rPr>
                <w:rFonts w:hint="default"/>
                <w:b w:val="0"/>
                <w:bCs w:val="0"/>
                <w:vertAlign w:val="baseline"/>
                <w:lang w:val="en"/>
              </w:rPr>
              <w:t>G=14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30" w:type="dxa"/>
          </w:tcPr>
          <w:p>
            <w:pPr>
              <w:jc w:val="center"/>
              <w:rPr>
                <w:rFonts w:hint="default"/>
                <w:b w:val="0"/>
                <w:bCs w:val="0"/>
                <w:vertAlign w:val="baseline"/>
                <w:lang w:val="en"/>
              </w:rPr>
            </w:pPr>
            <w:r>
              <w:rPr>
                <w:rFonts w:hint="default"/>
                <w:b w:val="0"/>
                <w:bCs w:val="0"/>
                <w:vertAlign w:val="baseline"/>
                <w:lang w:val="en"/>
              </w:rPr>
              <w:t>gcc</w:t>
            </w:r>
          </w:p>
        </w:tc>
        <w:tc>
          <w:tcPr>
            <w:tcW w:w="2130" w:type="dxa"/>
          </w:tcPr>
          <w:p>
            <w:pPr>
              <w:jc w:val="center"/>
              <w:rPr>
                <w:rFonts w:hint="default"/>
                <w:b w:val="0"/>
                <w:bCs w:val="0"/>
                <w:vertAlign w:val="baseline"/>
                <w:lang w:val="en"/>
              </w:rPr>
            </w:pPr>
            <w:r>
              <w:rPr>
                <w:rFonts w:hint="default"/>
                <w:b w:val="0"/>
                <w:bCs w:val="0"/>
                <w:vertAlign w:val="baseline"/>
                <w:lang w:val="en"/>
              </w:rPr>
              <w:t>0.930593</w:t>
            </w:r>
          </w:p>
        </w:tc>
        <w:tc>
          <w:tcPr>
            <w:tcW w:w="2131" w:type="dxa"/>
          </w:tcPr>
          <w:p>
            <w:pPr>
              <w:jc w:val="center"/>
              <w:rPr>
                <w:rFonts w:hint="default"/>
                <w:b w:val="0"/>
                <w:bCs w:val="0"/>
                <w:vertAlign w:val="baseline"/>
                <w:lang w:val="en"/>
              </w:rPr>
            </w:pPr>
            <w:r>
              <w:rPr>
                <w:rFonts w:hint="default"/>
                <w:b w:val="0"/>
                <w:bCs w:val="0"/>
                <w:vertAlign w:val="baseline"/>
                <w:lang w:val="en"/>
              </w:rPr>
              <w:t>0.906406</w:t>
            </w:r>
          </w:p>
        </w:tc>
        <w:tc>
          <w:tcPr>
            <w:tcW w:w="2131" w:type="dxa"/>
          </w:tcPr>
          <w:p>
            <w:pPr>
              <w:jc w:val="center"/>
              <w:rPr>
                <w:rFonts w:hint="default"/>
                <w:b w:val="0"/>
                <w:bCs w:val="0"/>
                <w:vertAlign w:val="baseline"/>
                <w:lang w:val="en"/>
              </w:rPr>
            </w:pPr>
            <w:r>
              <w:rPr>
                <w:rFonts w:hint="default"/>
                <w:b w:val="0"/>
                <w:bCs w:val="0"/>
                <w:vertAlign w:val="baseline"/>
                <w:lang w:val="en"/>
              </w:rPr>
              <w:t>0.874916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30" w:type="dxa"/>
          </w:tcPr>
          <w:p>
            <w:pPr>
              <w:jc w:val="center"/>
              <w:rPr>
                <w:rFonts w:hint="default"/>
                <w:b w:val="0"/>
                <w:bCs w:val="0"/>
                <w:vertAlign w:val="baseline"/>
                <w:lang w:val="en"/>
              </w:rPr>
            </w:pPr>
            <w:r>
              <w:rPr>
                <w:rFonts w:hint="default"/>
                <w:b w:val="0"/>
                <w:bCs w:val="0"/>
                <w:vertAlign w:val="baseline"/>
                <w:lang w:val="en"/>
              </w:rPr>
              <w:t>mcf</w:t>
            </w:r>
          </w:p>
        </w:tc>
        <w:tc>
          <w:tcPr>
            <w:tcW w:w="2130" w:type="dxa"/>
          </w:tcPr>
          <w:p>
            <w:pPr>
              <w:jc w:val="center"/>
              <w:rPr>
                <w:rFonts w:hint="default"/>
                <w:b w:val="0"/>
                <w:bCs w:val="0"/>
                <w:vertAlign w:val="baseline"/>
                <w:lang w:val="en"/>
              </w:rPr>
            </w:pPr>
            <w:r>
              <w:rPr>
                <w:rFonts w:hint="default"/>
                <w:b w:val="0"/>
                <w:bCs w:val="0"/>
                <w:vertAlign w:val="baseline"/>
                <w:lang w:val="en"/>
              </w:rPr>
              <w:t>0.981488</w:t>
            </w:r>
          </w:p>
        </w:tc>
        <w:tc>
          <w:tcPr>
            <w:tcW w:w="2131" w:type="dxa"/>
          </w:tcPr>
          <w:p>
            <w:pPr>
              <w:jc w:val="center"/>
              <w:rPr>
                <w:rFonts w:hint="default"/>
                <w:b w:val="0"/>
                <w:bCs w:val="0"/>
                <w:vertAlign w:val="baseline"/>
                <w:lang w:val="en"/>
              </w:rPr>
            </w:pPr>
            <w:r>
              <w:rPr>
                <w:rFonts w:hint="default"/>
                <w:b w:val="0"/>
                <w:bCs w:val="0"/>
                <w:vertAlign w:val="baseline"/>
                <w:lang w:val="en"/>
              </w:rPr>
              <w:t>0.981488</w:t>
            </w:r>
          </w:p>
        </w:tc>
        <w:tc>
          <w:tcPr>
            <w:tcW w:w="2131" w:type="dxa"/>
          </w:tcPr>
          <w:p>
            <w:pPr>
              <w:jc w:val="center"/>
              <w:rPr>
                <w:rFonts w:hint="default"/>
                <w:b w:val="0"/>
                <w:bCs w:val="0"/>
                <w:vertAlign w:val="baseline"/>
                <w:lang w:val="en"/>
              </w:rPr>
            </w:pPr>
            <w:r>
              <w:rPr>
                <w:rFonts w:hint="default"/>
                <w:b w:val="0"/>
                <w:bCs w:val="0"/>
                <w:vertAlign w:val="baseline"/>
                <w:lang w:val="en"/>
              </w:rPr>
              <w:t>0.981495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45" w:hRule="atLeast"/>
        </w:trPr>
        <w:tc>
          <w:tcPr>
            <w:tcW w:w="2130" w:type="dxa"/>
          </w:tcPr>
          <w:p>
            <w:pPr>
              <w:jc w:val="center"/>
              <w:rPr>
                <w:rFonts w:hint="default"/>
                <w:b w:val="0"/>
                <w:bCs w:val="0"/>
                <w:vertAlign w:val="baseline"/>
                <w:lang w:val="en"/>
              </w:rPr>
            </w:pPr>
            <w:r>
              <w:rPr>
                <w:rFonts w:hint="default"/>
                <w:b w:val="0"/>
                <w:bCs w:val="0"/>
                <w:vertAlign w:val="baseline"/>
                <w:lang w:val="en"/>
              </w:rPr>
              <w:t>perlbench</w:t>
            </w:r>
          </w:p>
        </w:tc>
        <w:tc>
          <w:tcPr>
            <w:tcW w:w="2130" w:type="dxa"/>
          </w:tcPr>
          <w:p>
            <w:pPr>
              <w:jc w:val="center"/>
              <w:rPr>
                <w:rFonts w:hint="default"/>
                <w:b w:val="0"/>
                <w:bCs w:val="0"/>
                <w:vertAlign w:val="baseline"/>
                <w:lang w:val="en"/>
              </w:rPr>
            </w:pPr>
            <w:r>
              <w:rPr>
                <w:rFonts w:hint="default"/>
                <w:b w:val="0"/>
                <w:bCs w:val="0"/>
                <w:vertAlign w:val="baseline"/>
                <w:lang w:val="en"/>
              </w:rPr>
              <w:t>0.832152</w:t>
            </w:r>
          </w:p>
        </w:tc>
        <w:tc>
          <w:tcPr>
            <w:tcW w:w="2131" w:type="dxa"/>
          </w:tcPr>
          <w:p>
            <w:pPr>
              <w:jc w:val="center"/>
              <w:rPr>
                <w:rFonts w:hint="default"/>
                <w:b w:val="0"/>
                <w:bCs w:val="0"/>
                <w:vertAlign w:val="baseline"/>
                <w:lang w:val="en"/>
              </w:rPr>
            </w:pPr>
            <w:r>
              <w:rPr>
                <w:rFonts w:hint="default"/>
                <w:b w:val="0"/>
                <w:bCs w:val="0"/>
                <w:vertAlign w:val="baseline"/>
                <w:lang w:val="en"/>
              </w:rPr>
              <w:t>0.866587</w:t>
            </w:r>
          </w:p>
        </w:tc>
        <w:tc>
          <w:tcPr>
            <w:tcW w:w="2131" w:type="dxa"/>
          </w:tcPr>
          <w:p>
            <w:pPr>
              <w:jc w:val="center"/>
              <w:rPr>
                <w:rFonts w:hint="default"/>
                <w:b w:val="0"/>
                <w:bCs w:val="0"/>
                <w:vertAlign w:val="baseline"/>
                <w:lang w:val="en"/>
              </w:rPr>
            </w:pPr>
            <w:r>
              <w:rPr>
                <w:rFonts w:hint="default"/>
                <w:b w:val="0"/>
                <w:bCs w:val="0"/>
                <w:vertAlign w:val="baseline"/>
                <w:lang w:val="en"/>
              </w:rPr>
              <w:t>0.894021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30" w:type="dxa"/>
          </w:tcPr>
          <w:p>
            <w:pPr>
              <w:jc w:val="center"/>
              <w:rPr>
                <w:rFonts w:hint="default"/>
                <w:b w:val="0"/>
                <w:bCs w:val="0"/>
                <w:vertAlign w:val="baseline"/>
                <w:lang w:val="en"/>
              </w:rPr>
            </w:pPr>
            <w:r>
              <w:rPr>
                <w:rFonts w:hint="default"/>
                <w:b w:val="0"/>
                <w:bCs w:val="0"/>
                <w:vertAlign w:val="baseline"/>
                <w:lang w:val="en"/>
              </w:rPr>
              <w:t>x264</w:t>
            </w:r>
          </w:p>
        </w:tc>
        <w:tc>
          <w:tcPr>
            <w:tcW w:w="2130" w:type="dxa"/>
          </w:tcPr>
          <w:p>
            <w:pPr>
              <w:jc w:val="center"/>
              <w:rPr>
                <w:rFonts w:hint="default"/>
                <w:b w:val="0"/>
                <w:bCs w:val="0"/>
                <w:vertAlign w:val="baseline"/>
                <w:lang w:val="en"/>
              </w:rPr>
            </w:pPr>
            <w:r>
              <w:rPr>
                <w:rFonts w:hint="default"/>
                <w:b w:val="0"/>
                <w:bCs w:val="0"/>
                <w:vertAlign w:val="baseline"/>
                <w:lang w:val="en"/>
              </w:rPr>
              <w:t>0.881464</w:t>
            </w:r>
          </w:p>
        </w:tc>
        <w:tc>
          <w:tcPr>
            <w:tcW w:w="2131" w:type="dxa"/>
          </w:tcPr>
          <w:p>
            <w:pPr>
              <w:jc w:val="center"/>
              <w:rPr>
                <w:rFonts w:hint="default"/>
                <w:b w:val="0"/>
                <w:bCs w:val="0"/>
                <w:vertAlign w:val="baseline"/>
                <w:lang w:val="en"/>
              </w:rPr>
            </w:pPr>
            <w:r>
              <w:rPr>
                <w:rFonts w:hint="default"/>
                <w:b w:val="0"/>
                <w:bCs w:val="0"/>
                <w:vertAlign w:val="baseline"/>
                <w:lang w:val="en"/>
              </w:rPr>
              <w:t>0.903848</w:t>
            </w:r>
          </w:p>
        </w:tc>
        <w:tc>
          <w:tcPr>
            <w:tcW w:w="2131" w:type="dxa"/>
          </w:tcPr>
          <w:p>
            <w:pPr>
              <w:jc w:val="center"/>
              <w:rPr>
                <w:rFonts w:hint="default"/>
                <w:b w:val="0"/>
                <w:bCs w:val="0"/>
                <w:vertAlign w:val="baseline"/>
                <w:lang w:val="en"/>
              </w:rPr>
            </w:pPr>
            <w:r>
              <w:rPr>
                <w:rFonts w:hint="default"/>
                <w:b w:val="0"/>
                <w:bCs w:val="0"/>
                <w:vertAlign w:val="baseline"/>
                <w:lang w:val="en"/>
              </w:rPr>
              <w:t>0.920462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30" w:type="dxa"/>
          </w:tcPr>
          <w:p>
            <w:pPr>
              <w:jc w:val="center"/>
              <w:rPr>
                <w:rFonts w:hint="default"/>
                <w:b w:val="0"/>
                <w:bCs w:val="0"/>
                <w:vertAlign w:val="baseline"/>
                <w:lang w:val="en"/>
              </w:rPr>
            </w:pPr>
            <w:r>
              <w:rPr>
                <w:rFonts w:hint="default"/>
                <w:b w:val="0"/>
                <w:bCs w:val="0"/>
                <w:vertAlign w:val="baseline"/>
                <w:lang w:val="en"/>
              </w:rPr>
              <w:t>Average</w:t>
            </w:r>
          </w:p>
        </w:tc>
        <w:tc>
          <w:tcPr>
            <w:tcW w:w="2130" w:type="dxa"/>
            <w:vAlign w:val="top"/>
          </w:tcPr>
          <w:p>
            <w:pPr>
              <w:keepNext w:val="0"/>
              <w:keepLines w:val="0"/>
              <w:widowControl/>
              <w:suppressLineNumbers w:val="0"/>
              <w:jc w:val="center"/>
              <w:textAlignment w:val="top"/>
              <w:rPr>
                <w:rFonts w:hint="default"/>
                <w:b w:val="0"/>
                <w:bCs w:val="0"/>
                <w:vertAlign w:val="baseline"/>
                <w:lang w:val="en"/>
              </w:rPr>
            </w:pPr>
            <w:r>
              <w:rPr>
                <w:rFonts w:hint="default" w:ascii="Calibri" w:hAnsi="Calibri" w:eastAsia="宋体" w:cs="Calibri"/>
                <w:i w:val="0"/>
                <w:color w:val="000000"/>
                <w:kern w:val="0"/>
                <w:sz w:val="20"/>
                <w:szCs w:val="20"/>
                <w:u w:val="none"/>
                <w:lang w:val="en-US" w:eastAsia="zh-CN" w:bidi="ar"/>
              </w:rPr>
              <w:t>0.90642425</w:t>
            </w:r>
          </w:p>
        </w:tc>
        <w:tc>
          <w:tcPr>
            <w:tcW w:w="2131" w:type="dxa"/>
            <w:vAlign w:val="top"/>
          </w:tcPr>
          <w:p>
            <w:pPr>
              <w:keepNext w:val="0"/>
              <w:keepLines w:val="0"/>
              <w:widowControl/>
              <w:suppressLineNumbers w:val="0"/>
              <w:jc w:val="center"/>
              <w:textAlignment w:val="top"/>
              <w:rPr>
                <w:rFonts w:hint="default"/>
                <w:b w:val="0"/>
                <w:bCs w:val="0"/>
                <w:vertAlign w:val="baseline"/>
                <w:lang w:val="en"/>
              </w:rPr>
            </w:pPr>
            <w:r>
              <w:rPr>
                <w:rFonts w:hint="default" w:ascii="Calibri" w:hAnsi="Calibri" w:eastAsia="宋体" w:cs="Calibri"/>
                <w:i w:val="0"/>
                <w:color w:val="000000"/>
                <w:kern w:val="0"/>
                <w:sz w:val="20"/>
                <w:szCs w:val="20"/>
                <w:u w:val="none"/>
                <w:lang w:val="en-US" w:eastAsia="zh-CN" w:bidi="ar"/>
              </w:rPr>
              <w:t>0.91458225</w:t>
            </w:r>
          </w:p>
        </w:tc>
        <w:tc>
          <w:tcPr>
            <w:tcW w:w="2131" w:type="dxa"/>
            <w:vAlign w:val="top"/>
          </w:tcPr>
          <w:p>
            <w:pPr>
              <w:keepNext w:val="0"/>
              <w:keepLines w:val="0"/>
              <w:widowControl/>
              <w:suppressLineNumbers w:val="0"/>
              <w:jc w:val="center"/>
              <w:textAlignment w:val="top"/>
              <w:rPr>
                <w:rFonts w:hint="default"/>
                <w:b w:val="0"/>
                <w:bCs w:val="0"/>
                <w:vertAlign w:val="baseline"/>
                <w:lang w:val="en"/>
              </w:rPr>
            </w:pPr>
            <w:r>
              <w:rPr>
                <w:rFonts w:hint="default" w:ascii="Calibri" w:hAnsi="Calibri" w:eastAsia="宋体" w:cs="Calibri"/>
                <w:i w:val="0"/>
                <w:color w:val="000000"/>
                <w:kern w:val="0"/>
                <w:sz w:val="20"/>
                <w:szCs w:val="20"/>
                <w:u w:val="none"/>
                <w:lang w:val="en-US" w:eastAsia="zh-CN" w:bidi="ar"/>
              </w:rPr>
              <w:t>0.9177235</w:t>
            </w:r>
          </w:p>
        </w:tc>
      </w:tr>
    </w:tbl>
    <w:p>
      <w:pPr>
        <w:rPr>
          <w:rFonts w:hint="default"/>
          <w:b w:val="0"/>
          <w:bCs w:val="0"/>
          <w:lang w:val="en"/>
        </w:rPr>
      </w:pPr>
    </w:p>
    <w:p>
      <w:pPr>
        <w:rPr>
          <w:rFonts w:hint="default"/>
          <w:b/>
          <w:bCs/>
          <w:u w:val="single"/>
          <w:lang w:val="en"/>
        </w:rPr>
      </w:pPr>
      <w:r>
        <w:rPr>
          <w:rFonts w:hint="default"/>
          <w:b/>
          <w:bCs/>
          <w:u w:val="single"/>
          <w:lang w:val="en"/>
        </w:rPr>
        <w:t>Yeh-Patt Predictor</w:t>
      </w:r>
    </w:p>
    <w:p>
      <w:pPr>
        <w:rPr>
          <w:rFonts w:hint="default"/>
          <w:b w:val="0"/>
          <w:bCs w:val="0"/>
          <w:u w:val="none"/>
          <w:lang w:val="en"/>
        </w:rPr>
      </w:pPr>
      <w:r>
        <w:rPr>
          <w:rFonts w:hint="default"/>
          <w:b w:val="0"/>
          <w:bCs w:val="0"/>
          <w:u w:val="none"/>
          <w:lang w:val="en"/>
        </w:rPr>
        <w:t>For Yeh-Patt predictor, there are two parameters influencing the prediction result. We choose to fix one of the parameter, and observe the impact of changing the other parameter. The first figure shows the result for two traces running with G=12 and increasing P from 1 to 12. The second figures shows two traces running with P=12 and increasing G from 8 to 12.</w:t>
      </w:r>
    </w:p>
    <w:p>
      <w:pPr>
        <w:rPr>
          <w:rFonts w:hint="default"/>
          <w:b w:val="0"/>
          <w:bCs w:val="0"/>
          <w:lang w:val="en"/>
        </w:rPr>
      </w:pPr>
    </w:p>
    <w:p>
      <w:r>
        <w:drawing>
          <wp:anchor distT="0" distB="0" distL="114300" distR="114300" simplePos="0" relativeHeight="251658240" behindDoc="0" locked="0" layoutInCell="1" allowOverlap="1">
            <wp:simplePos x="0" y="0"/>
            <wp:positionH relativeFrom="column">
              <wp:posOffset>3014980</wp:posOffset>
            </wp:positionH>
            <wp:positionV relativeFrom="paragraph">
              <wp:posOffset>18415</wp:posOffset>
            </wp:positionV>
            <wp:extent cx="2939415" cy="2221230"/>
            <wp:effectExtent l="4445" t="4445" r="8890" b="22225"/>
            <wp:wrapSquare wrapText="bothSides"/>
            <wp:docPr id="3"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anchor>
        </w:drawing>
      </w:r>
      <w:r>
        <w:drawing>
          <wp:inline distT="0" distB="0" distL="114300" distR="114300">
            <wp:extent cx="2831465" cy="2264410"/>
            <wp:effectExtent l="4445" t="4445" r="21590" b="17145"/>
            <wp:docPr id="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p>
      <w:pPr>
        <w:rPr>
          <w:rFonts w:hint="default"/>
          <w:lang w:val="en"/>
        </w:rPr>
      </w:pPr>
      <w:r>
        <w:rPr>
          <w:rFonts w:hint="default"/>
          <w:lang w:val="en"/>
        </w:rPr>
        <w:t xml:space="preserve">Based on the above, we should be able to conclude that both increasing G and P will improve the predictor performance. Therefore, the most accurate configuration for Yeh-Patt predictor should be either G=14, P=11, or G=12, p=12, considering the size limit. </w:t>
      </w:r>
    </w:p>
    <w:p>
      <w:pPr>
        <w:rPr>
          <w:rFonts w:hint="default"/>
          <w:lang w:val="en"/>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420"/>
        <w:gridCol w:w="1420"/>
        <w:gridCol w:w="1420"/>
        <w:gridCol w:w="1420"/>
        <w:gridCol w:w="1420"/>
        <w:gridCol w:w="14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20" w:type="dxa"/>
          </w:tcPr>
          <w:p>
            <w:pPr>
              <w:jc w:val="center"/>
              <w:rPr>
                <w:rFonts w:hint="default"/>
                <w:vertAlign w:val="baseline"/>
                <w:lang w:val="en"/>
              </w:rPr>
            </w:pPr>
          </w:p>
        </w:tc>
        <w:tc>
          <w:tcPr>
            <w:tcW w:w="1420" w:type="dxa"/>
          </w:tcPr>
          <w:p>
            <w:pPr>
              <w:jc w:val="center"/>
              <w:rPr>
                <w:rFonts w:hint="default"/>
                <w:vertAlign w:val="baseline"/>
                <w:lang w:val="en"/>
              </w:rPr>
            </w:pPr>
            <w:r>
              <w:rPr>
                <w:rFonts w:hint="default"/>
                <w:vertAlign w:val="baseline"/>
                <w:lang w:val="en"/>
              </w:rPr>
              <w:t>GCC</w:t>
            </w:r>
          </w:p>
        </w:tc>
        <w:tc>
          <w:tcPr>
            <w:tcW w:w="1420" w:type="dxa"/>
          </w:tcPr>
          <w:p>
            <w:pPr>
              <w:jc w:val="center"/>
              <w:rPr>
                <w:rFonts w:hint="default"/>
                <w:vertAlign w:val="baseline"/>
                <w:lang w:val="en"/>
              </w:rPr>
            </w:pPr>
            <w:r>
              <w:rPr>
                <w:rFonts w:hint="default"/>
                <w:vertAlign w:val="baseline"/>
                <w:lang w:val="en"/>
              </w:rPr>
              <w:t>MCF</w:t>
            </w:r>
          </w:p>
        </w:tc>
        <w:tc>
          <w:tcPr>
            <w:tcW w:w="1420" w:type="dxa"/>
          </w:tcPr>
          <w:p>
            <w:pPr>
              <w:jc w:val="center"/>
              <w:rPr>
                <w:rFonts w:hint="default"/>
                <w:vertAlign w:val="baseline"/>
                <w:lang w:val="en"/>
              </w:rPr>
            </w:pPr>
            <w:r>
              <w:rPr>
                <w:rFonts w:hint="default"/>
                <w:vertAlign w:val="baseline"/>
                <w:lang w:val="en"/>
              </w:rPr>
              <w:t>Perlbench</w:t>
            </w:r>
          </w:p>
        </w:tc>
        <w:tc>
          <w:tcPr>
            <w:tcW w:w="1420" w:type="dxa"/>
          </w:tcPr>
          <w:p>
            <w:pPr>
              <w:jc w:val="center"/>
              <w:rPr>
                <w:rFonts w:hint="default"/>
                <w:vertAlign w:val="baseline"/>
                <w:lang w:val="en"/>
              </w:rPr>
            </w:pPr>
            <w:r>
              <w:rPr>
                <w:rFonts w:hint="default"/>
                <w:vertAlign w:val="baseline"/>
                <w:lang w:val="en"/>
              </w:rPr>
              <w:t>X264</w:t>
            </w:r>
          </w:p>
        </w:tc>
        <w:tc>
          <w:tcPr>
            <w:tcW w:w="1420" w:type="dxa"/>
          </w:tcPr>
          <w:p>
            <w:pPr>
              <w:jc w:val="center"/>
              <w:rPr>
                <w:rFonts w:hint="default"/>
                <w:vertAlign w:val="baseline"/>
                <w:lang w:val="en"/>
              </w:rPr>
            </w:pPr>
            <w:r>
              <w:rPr>
                <w:rFonts w:hint="default"/>
                <w:vertAlign w:val="baseline"/>
                <w:lang w:val="en"/>
              </w:rPr>
              <w:t>Average accuracy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20" w:type="dxa"/>
          </w:tcPr>
          <w:p>
            <w:pPr>
              <w:jc w:val="center"/>
              <w:rPr>
                <w:rFonts w:hint="default"/>
                <w:vertAlign w:val="baseline"/>
                <w:lang w:val="en"/>
              </w:rPr>
            </w:pPr>
            <w:r>
              <w:rPr>
                <w:rFonts w:hint="default"/>
                <w:vertAlign w:val="baseline"/>
                <w:lang w:val="en"/>
              </w:rPr>
              <w:t>G=14, P=11</w:t>
            </w:r>
          </w:p>
        </w:tc>
        <w:tc>
          <w:tcPr>
            <w:tcW w:w="1420" w:type="dxa"/>
          </w:tcPr>
          <w:p>
            <w:pPr>
              <w:jc w:val="center"/>
              <w:rPr>
                <w:rFonts w:hint="default"/>
                <w:vertAlign w:val="baseline"/>
                <w:lang w:val="en"/>
              </w:rPr>
            </w:pPr>
            <w:r>
              <w:rPr>
                <w:rFonts w:hint="default"/>
                <w:vertAlign w:val="baseline"/>
                <w:lang w:val="en"/>
              </w:rPr>
              <w:t>0.960152</w:t>
            </w:r>
          </w:p>
        </w:tc>
        <w:tc>
          <w:tcPr>
            <w:tcW w:w="1420" w:type="dxa"/>
          </w:tcPr>
          <w:p>
            <w:pPr>
              <w:jc w:val="center"/>
              <w:rPr>
                <w:rFonts w:hint="default"/>
                <w:vertAlign w:val="baseline"/>
                <w:lang w:val="en"/>
              </w:rPr>
            </w:pPr>
            <w:r>
              <w:rPr>
                <w:rFonts w:hint="default"/>
                <w:vertAlign w:val="baseline"/>
                <w:lang w:val="en"/>
              </w:rPr>
              <w:t>0.999139</w:t>
            </w:r>
          </w:p>
        </w:tc>
        <w:tc>
          <w:tcPr>
            <w:tcW w:w="1420" w:type="dxa"/>
          </w:tcPr>
          <w:p>
            <w:pPr>
              <w:jc w:val="center"/>
              <w:rPr>
                <w:rFonts w:hint="default"/>
                <w:vertAlign w:val="baseline"/>
                <w:lang w:val="en"/>
              </w:rPr>
            </w:pPr>
            <w:r>
              <w:rPr>
                <w:rFonts w:hint="default"/>
                <w:vertAlign w:val="baseline"/>
                <w:lang w:val="en"/>
              </w:rPr>
              <w:t>0.935302</w:t>
            </w:r>
          </w:p>
        </w:tc>
        <w:tc>
          <w:tcPr>
            <w:tcW w:w="1420" w:type="dxa"/>
          </w:tcPr>
          <w:p>
            <w:pPr>
              <w:jc w:val="center"/>
              <w:rPr>
                <w:rFonts w:hint="default"/>
                <w:vertAlign w:val="baseline"/>
                <w:lang w:val="en"/>
              </w:rPr>
            </w:pPr>
            <w:r>
              <w:rPr>
                <w:rFonts w:hint="default"/>
                <w:vertAlign w:val="baseline"/>
                <w:lang w:val="en"/>
              </w:rPr>
              <w:t>0.924325</w:t>
            </w:r>
          </w:p>
        </w:tc>
        <w:tc>
          <w:tcPr>
            <w:tcW w:w="1420" w:type="dxa"/>
            <w:vAlign w:val="top"/>
          </w:tcPr>
          <w:p>
            <w:pPr>
              <w:keepNext w:val="0"/>
              <w:keepLines w:val="0"/>
              <w:widowControl/>
              <w:suppressLineNumbers w:val="0"/>
              <w:jc w:val="center"/>
              <w:textAlignment w:val="top"/>
              <w:rPr>
                <w:rFonts w:hint="default"/>
                <w:vertAlign w:val="baseline"/>
                <w:lang w:val="en"/>
              </w:rPr>
            </w:pPr>
            <w:r>
              <w:rPr>
                <w:rFonts w:hint="default" w:ascii="Calibri" w:hAnsi="Calibri" w:eastAsia="宋体" w:cs="Calibri"/>
                <w:i w:val="0"/>
                <w:color w:val="000000"/>
                <w:kern w:val="0"/>
                <w:sz w:val="20"/>
                <w:szCs w:val="20"/>
                <w:u w:val="none"/>
                <w:lang w:val="en-US" w:eastAsia="zh-CN" w:bidi="ar"/>
              </w:rPr>
              <w:t>0.9547295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20" w:type="dxa"/>
          </w:tcPr>
          <w:p>
            <w:pPr>
              <w:jc w:val="center"/>
              <w:rPr>
                <w:rFonts w:hint="default"/>
                <w:vertAlign w:val="baseline"/>
                <w:lang w:val="en"/>
              </w:rPr>
            </w:pPr>
            <w:r>
              <w:rPr>
                <w:rFonts w:hint="default"/>
                <w:vertAlign w:val="baseline"/>
                <w:lang w:val="en"/>
              </w:rPr>
              <w:t>G=12, P=12</w:t>
            </w:r>
          </w:p>
        </w:tc>
        <w:tc>
          <w:tcPr>
            <w:tcW w:w="1420" w:type="dxa"/>
          </w:tcPr>
          <w:p>
            <w:pPr>
              <w:jc w:val="center"/>
              <w:rPr>
                <w:rFonts w:hint="default"/>
                <w:vertAlign w:val="baseline"/>
                <w:lang w:val="en"/>
              </w:rPr>
            </w:pPr>
            <w:r>
              <w:rPr>
                <w:rFonts w:hint="default"/>
                <w:vertAlign w:val="baseline"/>
                <w:lang w:val="en"/>
              </w:rPr>
              <w:t>0.941419</w:t>
            </w:r>
          </w:p>
        </w:tc>
        <w:tc>
          <w:tcPr>
            <w:tcW w:w="1420" w:type="dxa"/>
          </w:tcPr>
          <w:p>
            <w:pPr>
              <w:jc w:val="center"/>
              <w:rPr>
                <w:rFonts w:hint="default"/>
                <w:vertAlign w:val="baseline"/>
                <w:lang w:val="en"/>
              </w:rPr>
            </w:pPr>
            <w:r>
              <w:rPr>
                <w:rFonts w:hint="default"/>
                <w:vertAlign w:val="baseline"/>
                <w:lang w:val="en"/>
              </w:rPr>
              <w:t>0.999132</w:t>
            </w:r>
          </w:p>
        </w:tc>
        <w:tc>
          <w:tcPr>
            <w:tcW w:w="1420" w:type="dxa"/>
          </w:tcPr>
          <w:p>
            <w:pPr>
              <w:jc w:val="center"/>
              <w:rPr>
                <w:rFonts w:hint="default"/>
                <w:vertAlign w:val="baseline"/>
                <w:lang w:val="en"/>
              </w:rPr>
            </w:pPr>
            <w:r>
              <w:rPr>
                <w:rFonts w:hint="default"/>
                <w:vertAlign w:val="baseline"/>
                <w:lang w:val="en"/>
              </w:rPr>
              <w:t>0.908492</w:t>
            </w:r>
          </w:p>
        </w:tc>
        <w:tc>
          <w:tcPr>
            <w:tcW w:w="1420" w:type="dxa"/>
          </w:tcPr>
          <w:p>
            <w:pPr>
              <w:jc w:val="center"/>
              <w:rPr>
                <w:rFonts w:hint="default"/>
                <w:vertAlign w:val="baseline"/>
                <w:lang w:val="en"/>
              </w:rPr>
            </w:pPr>
            <w:r>
              <w:rPr>
                <w:rFonts w:hint="default"/>
                <w:vertAlign w:val="baseline"/>
                <w:lang w:val="en"/>
              </w:rPr>
              <w:t>0.921143</w:t>
            </w:r>
          </w:p>
        </w:tc>
        <w:tc>
          <w:tcPr>
            <w:tcW w:w="1420" w:type="dxa"/>
            <w:vAlign w:val="top"/>
          </w:tcPr>
          <w:p>
            <w:pPr>
              <w:keepNext w:val="0"/>
              <w:keepLines w:val="0"/>
              <w:widowControl/>
              <w:suppressLineNumbers w:val="0"/>
              <w:jc w:val="center"/>
              <w:textAlignment w:val="top"/>
              <w:rPr>
                <w:rFonts w:hint="default"/>
                <w:vertAlign w:val="baseline"/>
                <w:lang w:val="en"/>
              </w:rPr>
            </w:pPr>
            <w:r>
              <w:rPr>
                <w:rFonts w:hint="default" w:ascii="Calibri" w:hAnsi="Calibri" w:eastAsia="宋体" w:cs="Calibri"/>
                <w:i w:val="0"/>
                <w:color w:val="000000"/>
                <w:kern w:val="0"/>
                <w:sz w:val="20"/>
                <w:szCs w:val="20"/>
                <w:u w:val="none"/>
                <w:lang w:val="en-US" w:eastAsia="zh-CN" w:bidi="ar"/>
              </w:rPr>
              <w:t>0.9425465</w:t>
            </w:r>
          </w:p>
        </w:tc>
      </w:tr>
    </w:tbl>
    <w:p>
      <w:pPr>
        <w:rPr>
          <w:rFonts w:hint="default"/>
          <w:lang w:val="en"/>
        </w:rPr>
      </w:pPr>
    </w:p>
    <w:p>
      <w:pPr>
        <w:rPr>
          <w:rFonts w:hint="default" w:ascii="Calibri" w:hAnsi="Calibri" w:eastAsia="宋体" w:cs="Calibri"/>
          <w:i w:val="0"/>
          <w:color w:val="000000"/>
          <w:kern w:val="0"/>
          <w:sz w:val="20"/>
          <w:szCs w:val="20"/>
          <w:u w:val="none"/>
          <w:lang w:val="en" w:eastAsia="zh-CN" w:bidi="ar"/>
        </w:rPr>
      </w:pPr>
      <w:r>
        <w:rPr>
          <w:rFonts w:hint="default"/>
          <w:lang w:val="en"/>
        </w:rPr>
        <w:t xml:space="preserve">In conclusion, the best Yeh-Patt predictor is G=14, P=11, with average accuracy </w:t>
      </w:r>
      <w:r>
        <w:rPr>
          <w:rFonts w:hint="default" w:ascii="Calibri" w:hAnsi="Calibri" w:eastAsia="宋体" w:cs="Calibri"/>
          <w:i w:val="0"/>
          <w:color w:val="000000"/>
          <w:kern w:val="0"/>
          <w:sz w:val="20"/>
          <w:szCs w:val="20"/>
          <w:u w:val="none"/>
          <w:lang w:val="en-US" w:eastAsia="zh-CN" w:bidi="ar"/>
        </w:rPr>
        <w:t>0.9547295</w:t>
      </w:r>
      <w:r>
        <w:rPr>
          <w:rFonts w:hint="default" w:ascii="Calibri" w:hAnsi="Calibri" w:eastAsia="宋体" w:cs="Calibri"/>
          <w:i w:val="0"/>
          <w:color w:val="000000"/>
          <w:kern w:val="0"/>
          <w:sz w:val="20"/>
          <w:szCs w:val="20"/>
          <w:u w:val="none"/>
          <w:lang w:val="en" w:eastAsia="zh-CN" w:bidi="ar"/>
        </w:rPr>
        <w:t>.</w:t>
      </w:r>
    </w:p>
    <w:p>
      <w:pPr>
        <w:rPr>
          <w:rFonts w:hint="default" w:ascii="Calibri" w:hAnsi="Calibri" w:eastAsia="宋体" w:cs="Calibri"/>
          <w:i w:val="0"/>
          <w:color w:val="000000"/>
          <w:kern w:val="0"/>
          <w:sz w:val="20"/>
          <w:szCs w:val="20"/>
          <w:u w:val="none"/>
          <w:lang w:val="en" w:eastAsia="zh-CN" w:bidi="ar"/>
        </w:rPr>
      </w:pPr>
      <w:r>
        <w:rPr>
          <w:rFonts w:hint="default" w:ascii="Calibri" w:hAnsi="Calibri" w:eastAsia="宋体" w:cs="Calibri"/>
          <w:i w:val="0"/>
          <w:color w:val="000000"/>
          <w:kern w:val="0"/>
          <w:sz w:val="20"/>
          <w:szCs w:val="20"/>
          <w:u w:val="none"/>
          <w:lang w:val="en" w:eastAsia="zh-CN" w:bidi="ar"/>
        </w:rPr>
        <w:br w:type="page"/>
      </w:r>
    </w:p>
    <w:p>
      <w:pPr>
        <w:rPr>
          <w:rFonts w:hint="default" w:ascii="Calibri" w:hAnsi="Calibri" w:eastAsia="宋体" w:cs="Calibri"/>
          <w:b/>
          <w:bCs/>
          <w:i w:val="0"/>
          <w:color w:val="000000"/>
          <w:kern w:val="0"/>
          <w:sz w:val="20"/>
          <w:szCs w:val="20"/>
          <w:u w:val="single"/>
          <w:lang w:val="en" w:eastAsia="zh-CN" w:bidi="ar"/>
        </w:rPr>
      </w:pPr>
      <w:r>
        <w:rPr>
          <w:rFonts w:hint="default" w:ascii="Calibri" w:hAnsi="Calibri" w:eastAsia="宋体" w:cs="Calibri"/>
          <w:b/>
          <w:bCs/>
          <w:i w:val="0"/>
          <w:color w:val="000000"/>
          <w:kern w:val="0"/>
          <w:sz w:val="20"/>
          <w:szCs w:val="20"/>
          <w:u w:val="single"/>
          <w:lang w:val="en" w:eastAsia="zh-CN" w:bidi="ar"/>
        </w:rPr>
        <w:t>Perceptron Predictor</w:t>
      </w:r>
    </w:p>
    <w:p>
      <w:pPr>
        <w:rPr>
          <w:rFonts w:hint="default" w:ascii="Calibri" w:hAnsi="Calibri" w:eastAsia="宋体" w:cs="Calibri"/>
          <w:b w:val="0"/>
          <w:bCs w:val="0"/>
          <w:i w:val="0"/>
          <w:color w:val="000000"/>
          <w:kern w:val="0"/>
          <w:sz w:val="20"/>
          <w:szCs w:val="20"/>
          <w:u w:val="none"/>
          <w:lang w:val="en" w:eastAsia="zh-CN" w:bidi="ar"/>
        </w:rPr>
      </w:pPr>
      <w:r>
        <w:rPr>
          <w:rFonts w:hint="default" w:ascii="Calibri" w:hAnsi="Calibri" w:eastAsia="宋体" w:cs="Calibri"/>
          <w:b w:val="0"/>
          <w:bCs w:val="0"/>
          <w:i w:val="0"/>
          <w:color w:val="000000"/>
          <w:kern w:val="0"/>
          <w:sz w:val="20"/>
          <w:szCs w:val="20"/>
          <w:u w:val="none"/>
          <w:lang w:val="en" w:eastAsia="zh-CN" w:bidi="ar"/>
        </w:rPr>
        <w:t xml:space="preserve">The relevant parameters for perceptron predictors are P and G. Since we cannot fix a single P value and have it cover the entire G range, only a subset of G values is covered. But, it should be sufficient for us to see the trend. Same scenario happens with fixing G. </w:t>
      </w:r>
    </w:p>
    <w:p>
      <w:pPr>
        <w:rPr>
          <w:rFonts w:hint="default" w:ascii="Calibri" w:hAnsi="Calibri" w:eastAsia="宋体" w:cs="Calibri"/>
          <w:b w:val="0"/>
          <w:bCs w:val="0"/>
          <w:i w:val="0"/>
          <w:color w:val="000000"/>
          <w:kern w:val="0"/>
          <w:sz w:val="20"/>
          <w:szCs w:val="20"/>
          <w:u w:val="none"/>
          <w:lang w:val="en" w:eastAsia="zh-CN" w:bidi="ar"/>
        </w:rPr>
      </w:pPr>
      <w:r>
        <w:drawing>
          <wp:anchor distT="0" distB="0" distL="114300" distR="114300" simplePos="0" relativeHeight="251659264" behindDoc="0" locked="0" layoutInCell="1" allowOverlap="1">
            <wp:simplePos x="0" y="0"/>
            <wp:positionH relativeFrom="column">
              <wp:posOffset>2835275</wp:posOffset>
            </wp:positionH>
            <wp:positionV relativeFrom="paragraph">
              <wp:posOffset>138430</wp:posOffset>
            </wp:positionV>
            <wp:extent cx="2875280" cy="2104390"/>
            <wp:effectExtent l="4445" t="4445" r="15875" b="5715"/>
            <wp:wrapSquare wrapText="bothSides"/>
            <wp:docPr id="5"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anchor>
        </w:drawing>
      </w:r>
    </w:p>
    <w:p>
      <w:pPr>
        <w:rPr>
          <w:rFonts w:hint="default" w:ascii="Calibri" w:hAnsi="Calibri" w:eastAsia="宋体" w:cs="Calibri"/>
          <w:b w:val="0"/>
          <w:bCs w:val="0"/>
          <w:i w:val="0"/>
          <w:color w:val="000000"/>
          <w:kern w:val="0"/>
          <w:sz w:val="20"/>
          <w:szCs w:val="20"/>
          <w:u w:val="none"/>
          <w:lang w:val="en" w:eastAsia="zh-CN" w:bidi="ar"/>
        </w:rPr>
      </w:pPr>
      <w:r>
        <w:drawing>
          <wp:inline distT="0" distB="0" distL="114300" distR="114300">
            <wp:extent cx="2747645" cy="2070100"/>
            <wp:effectExtent l="5080" t="4445" r="9525" b="20955"/>
            <wp:docPr id="1"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pPr>
        <w:rPr>
          <w:rFonts w:hint="default" w:ascii="Calibri" w:hAnsi="Calibri" w:eastAsia="宋体" w:cs="Calibri"/>
          <w:b w:val="0"/>
          <w:bCs w:val="0"/>
          <w:i w:val="0"/>
          <w:color w:val="000000"/>
          <w:kern w:val="0"/>
          <w:sz w:val="20"/>
          <w:szCs w:val="20"/>
          <w:u w:val="none"/>
          <w:lang w:val="en" w:eastAsia="zh-CN" w:bidi="ar"/>
        </w:rPr>
      </w:pPr>
    </w:p>
    <w:p>
      <w:pPr>
        <w:rPr>
          <w:rFonts w:hint="default" w:ascii="Calibri" w:hAnsi="Calibri" w:eastAsia="宋体" w:cs="Calibri"/>
          <w:b w:val="0"/>
          <w:bCs w:val="0"/>
          <w:i w:val="0"/>
          <w:color w:val="000000"/>
          <w:kern w:val="0"/>
          <w:sz w:val="20"/>
          <w:szCs w:val="20"/>
          <w:u w:val="none"/>
          <w:lang w:val="en" w:eastAsia="zh-CN" w:bidi="ar"/>
        </w:rPr>
      </w:pPr>
      <w:r>
        <w:rPr>
          <w:rFonts w:hint="default" w:ascii="Calibri" w:hAnsi="Calibri" w:eastAsia="宋体" w:cs="Calibri"/>
          <w:b w:val="0"/>
          <w:bCs w:val="0"/>
          <w:i w:val="0"/>
          <w:color w:val="000000"/>
          <w:kern w:val="0"/>
          <w:sz w:val="20"/>
          <w:szCs w:val="20"/>
          <w:u w:val="none"/>
          <w:lang w:val="en" w:eastAsia="zh-CN" w:bidi="ar"/>
        </w:rPr>
        <w:t>Based on the above, both increasing G and P help improving the accuracy. Therefore, the best perceptron should be the one maximizing P and G given the total size limit. We can work out all possible configurations of P and G</w:t>
      </w:r>
      <w:bookmarkStart w:id="0" w:name="_GoBack"/>
      <w:bookmarkEnd w:id="0"/>
      <w:r>
        <w:rPr>
          <w:rFonts w:hint="default" w:ascii="Calibri" w:hAnsi="Calibri" w:eastAsia="宋体" w:cs="Calibri"/>
          <w:b w:val="0"/>
          <w:bCs w:val="0"/>
          <w:i w:val="0"/>
          <w:color w:val="000000"/>
          <w:kern w:val="0"/>
          <w:sz w:val="20"/>
          <w:szCs w:val="20"/>
          <w:u w:val="none"/>
          <w:lang w:val="en" w:eastAsia="zh-CN" w:bidi="ar"/>
        </w:rPr>
        <w:t xml:space="preserve"> and run those to see performance.</w:t>
      </w:r>
    </w:p>
    <w:p>
      <w:pPr>
        <w:rPr>
          <w:rFonts w:hint="default" w:ascii="Calibri" w:hAnsi="Calibri" w:eastAsia="宋体" w:cs="Calibri"/>
          <w:b w:val="0"/>
          <w:bCs w:val="0"/>
          <w:i w:val="0"/>
          <w:color w:val="000000"/>
          <w:kern w:val="0"/>
          <w:sz w:val="20"/>
          <w:szCs w:val="20"/>
          <w:u w:val="none"/>
          <w:lang w:val="en" w:eastAsia="zh-CN" w:bidi="ar"/>
        </w:rPr>
      </w:pPr>
    </w:p>
    <w:tbl>
      <w:tblPr>
        <w:tblW w:w="789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960"/>
        <w:gridCol w:w="960"/>
        <w:gridCol w:w="1056"/>
        <w:gridCol w:w="1056"/>
        <w:gridCol w:w="1118"/>
        <w:gridCol w:w="1056"/>
        <w:gridCol w:w="184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0" w:hRule="atLeast"/>
        </w:trPr>
        <w:tc>
          <w:tcPr>
            <w:tcW w:w="960" w:type="dxa"/>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left"/>
              <w:textAlignment w:val="center"/>
              <w:rPr>
                <w:rFonts w:ascii="Calibri" w:hAnsi="Calibri" w:cs="Calibri"/>
                <w:i w:val="0"/>
                <w:color w:val="000000"/>
                <w:sz w:val="22"/>
                <w:szCs w:val="22"/>
                <w:u w:val="none"/>
              </w:rPr>
            </w:pPr>
            <w:r>
              <w:rPr>
                <w:rFonts w:hint="default" w:ascii="Calibri" w:hAnsi="Calibri" w:eastAsia="宋体" w:cs="Calibri"/>
                <w:i w:val="0"/>
                <w:color w:val="000000"/>
                <w:kern w:val="0"/>
                <w:sz w:val="22"/>
                <w:szCs w:val="22"/>
                <w:u w:val="none"/>
                <w:bdr w:val="none" w:color="auto" w:sz="0" w:space="0"/>
                <w:lang w:val="en-US" w:eastAsia="zh-CN" w:bidi="ar"/>
              </w:rPr>
              <w:t>G</w:t>
            </w:r>
          </w:p>
        </w:tc>
        <w:tc>
          <w:tcPr>
            <w:tcW w:w="960" w:type="dxa"/>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left"/>
              <w:textAlignment w:val="center"/>
              <w:rPr>
                <w:rFonts w:hint="default" w:ascii="Calibri" w:hAnsi="Calibri" w:cs="Calibri"/>
                <w:i w:val="0"/>
                <w:color w:val="000000"/>
                <w:sz w:val="22"/>
                <w:szCs w:val="22"/>
                <w:u w:val="none"/>
              </w:rPr>
            </w:pPr>
            <w:r>
              <w:rPr>
                <w:rFonts w:hint="default" w:ascii="Calibri" w:hAnsi="Calibri" w:eastAsia="宋体" w:cs="Calibri"/>
                <w:i w:val="0"/>
                <w:color w:val="000000"/>
                <w:kern w:val="0"/>
                <w:sz w:val="22"/>
                <w:szCs w:val="22"/>
                <w:u w:val="none"/>
                <w:bdr w:val="none" w:color="auto" w:sz="0" w:space="0"/>
                <w:lang w:val="en-US" w:eastAsia="zh-CN" w:bidi="ar"/>
              </w:rPr>
              <w:t>P</w:t>
            </w:r>
          </w:p>
        </w:tc>
        <w:tc>
          <w:tcPr>
            <w:tcW w:w="1005" w:type="dxa"/>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left"/>
              <w:textAlignment w:val="center"/>
              <w:rPr>
                <w:rFonts w:hint="default" w:ascii="Calibri" w:hAnsi="Calibri" w:cs="Calibri"/>
                <w:i w:val="0"/>
                <w:color w:val="000000"/>
                <w:sz w:val="22"/>
                <w:szCs w:val="22"/>
                <w:u w:val="none"/>
              </w:rPr>
            </w:pPr>
            <w:r>
              <w:rPr>
                <w:rFonts w:hint="default" w:ascii="Calibri" w:hAnsi="Calibri" w:eastAsia="宋体" w:cs="Calibri"/>
                <w:i w:val="0"/>
                <w:color w:val="000000"/>
                <w:kern w:val="0"/>
                <w:sz w:val="22"/>
                <w:szCs w:val="22"/>
                <w:u w:val="none"/>
                <w:bdr w:val="none" w:color="auto" w:sz="0" w:space="0"/>
                <w:lang w:val="en-US" w:eastAsia="zh-CN" w:bidi="ar"/>
              </w:rPr>
              <w:t>gcc</w:t>
            </w:r>
          </w:p>
        </w:tc>
        <w:tc>
          <w:tcPr>
            <w:tcW w:w="1005" w:type="dxa"/>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left"/>
              <w:textAlignment w:val="center"/>
              <w:rPr>
                <w:rFonts w:hint="default" w:ascii="Calibri" w:hAnsi="Calibri" w:cs="Calibri"/>
                <w:i w:val="0"/>
                <w:color w:val="000000"/>
                <w:sz w:val="22"/>
                <w:szCs w:val="22"/>
                <w:u w:val="none"/>
              </w:rPr>
            </w:pPr>
            <w:r>
              <w:rPr>
                <w:rFonts w:hint="default" w:ascii="Calibri" w:hAnsi="Calibri" w:eastAsia="宋体" w:cs="Calibri"/>
                <w:i w:val="0"/>
                <w:color w:val="000000"/>
                <w:kern w:val="0"/>
                <w:sz w:val="22"/>
                <w:szCs w:val="22"/>
                <w:u w:val="none"/>
                <w:bdr w:val="none" w:color="auto" w:sz="0" w:space="0"/>
                <w:lang w:val="en-US" w:eastAsia="zh-CN" w:bidi="ar"/>
              </w:rPr>
              <w:t>mcf</w:t>
            </w:r>
          </w:p>
        </w:tc>
        <w:tc>
          <w:tcPr>
            <w:tcW w:w="1110" w:type="dxa"/>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left"/>
              <w:textAlignment w:val="center"/>
              <w:rPr>
                <w:rFonts w:hint="default" w:ascii="Calibri" w:hAnsi="Calibri" w:cs="Calibri"/>
                <w:i w:val="0"/>
                <w:color w:val="000000"/>
                <w:sz w:val="22"/>
                <w:szCs w:val="22"/>
                <w:u w:val="none"/>
              </w:rPr>
            </w:pPr>
            <w:r>
              <w:rPr>
                <w:rFonts w:hint="default" w:ascii="Calibri" w:hAnsi="Calibri" w:eastAsia="宋体" w:cs="Calibri"/>
                <w:i w:val="0"/>
                <w:color w:val="000000"/>
                <w:kern w:val="0"/>
                <w:sz w:val="22"/>
                <w:szCs w:val="22"/>
                <w:u w:val="none"/>
                <w:bdr w:val="none" w:color="auto" w:sz="0" w:space="0"/>
                <w:lang w:val="en-US" w:eastAsia="zh-CN" w:bidi="ar"/>
              </w:rPr>
              <w:t>perlbench</w:t>
            </w:r>
          </w:p>
        </w:tc>
        <w:tc>
          <w:tcPr>
            <w:tcW w:w="1005" w:type="dxa"/>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left"/>
              <w:textAlignment w:val="center"/>
              <w:rPr>
                <w:rFonts w:hint="default" w:ascii="Calibri" w:hAnsi="Calibri" w:cs="Calibri"/>
                <w:i w:val="0"/>
                <w:color w:val="000000"/>
                <w:sz w:val="22"/>
                <w:szCs w:val="22"/>
                <w:u w:val="none"/>
              </w:rPr>
            </w:pPr>
            <w:r>
              <w:rPr>
                <w:rFonts w:hint="default" w:ascii="Calibri" w:hAnsi="Calibri" w:eastAsia="宋体" w:cs="Calibri"/>
                <w:i w:val="0"/>
                <w:color w:val="000000"/>
                <w:kern w:val="0"/>
                <w:sz w:val="22"/>
                <w:szCs w:val="22"/>
                <w:u w:val="none"/>
                <w:bdr w:val="none" w:color="auto" w:sz="0" w:space="0"/>
                <w:lang w:val="en-US" w:eastAsia="zh-CN" w:bidi="ar"/>
              </w:rPr>
              <w:t>x264</w:t>
            </w:r>
          </w:p>
        </w:tc>
        <w:tc>
          <w:tcPr>
            <w:tcW w:w="1845" w:type="dxa"/>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left"/>
              <w:textAlignment w:val="center"/>
              <w:rPr>
                <w:rFonts w:hint="default" w:ascii="Calibri" w:hAnsi="Calibri" w:cs="Calibri"/>
                <w:i w:val="0"/>
                <w:color w:val="000000"/>
                <w:sz w:val="22"/>
                <w:szCs w:val="22"/>
                <w:u w:val="none"/>
              </w:rPr>
            </w:pPr>
            <w:r>
              <w:rPr>
                <w:rFonts w:hint="default" w:ascii="Calibri" w:hAnsi="Calibri" w:eastAsia="宋体" w:cs="Calibri"/>
                <w:i w:val="0"/>
                <w:color w:val="000000"/>
                <w:kern w:val="0"/>
                <w:sz w:val="22"/>
                <w:szCs w:val="22"/>
                <w:u w:val="none"/>
                <w:bdr w:val="none" w:color="auto" w:sz="0" w:space="0"/>
                <w:lang w:val="en-US" w:eastAsia="zh-CN" w:bidi="ar"/>
              </w:rPr>
              <w:t>Average accuracy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right"/>
              <w:textAlignment w:val="center"/>
              <w:rPr>
                <w:rFonts w:hint="default" w:ascii="Calibri" w:hAnsi="Calibri" w:cs="Calibri"/>
                <w:i w:val="0"/>
                <w:color w:val="000000"/>
                <w:sz w:val="22"/>
                <w:szCs w:val="22"/>
                <w:u w:val="none"/>
              </w:rPr>
            </w:pPr>
            <w:r>
              <w:rPr>
                <w:rFonts w:hint="default" w:ascii="Calibri" w:hAnsi="Calibri" w:eastAsia="宋体" w:cs="Calibri"/>
                <w:i w:val="0"/>
                <w:color w:val="000000"/>
                <w:kern w:val="0"/>
                <w:sz w:val="22"/>
                <w:szCs w:val="22"/>
                <w:u w:val="none"/>
                <w:bdr w:val="none" w:color="auto" w:sz="0" w:space="0"/>
                <w:lang w:val="en-US" w:eastAsia="zh-CN" w:bidi="ar"/>
              </w:rPr>
              <w:t>63</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right"/>
              <w:textAlignment w:val="center"/>
              <w:rPr>
                <w:rFonts w:hint="default" w:ascii="Calibri" w:hAnsi="Calibri" w:cs="Calibri"/>
                <w:i w:val="0"/>
                <w:color w:val="000000"/>
                <w:sz w:val="22"/>
                <w:szCs w:val="22"/>
                <w:u w:val="none"/>
              </w:rPr>
            </w:pPr>
            <w:r>
              <w:rPr>
                <w:rFonts w:hint="default" w:ascii="Calibri" w:hAnsi="Calibri" w:eastAsia="宋体" w:cs="Calibri"/>
                <w:i w:val="0"/>
                <w:color w:val="000000"/>
                <w:kern w:val="0"/>
                <w:sz w:val="22"/>
                <w:szCs w:val="22"/>
                <w:u w:val="none"/>
                <w:bdr w:val="none" w:color="auto" w:sz="0" w:space="0"/>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right"/>
              <w:textAlignment w:val="center"/>
              <w:rPr>
                <w:rFonts w:hint="default" w:ascii="Calibri" w:hAnsi="Calibri" w:cs="Calibri"/>
                <w:i w:val="0"/>
                <w:color w:val="000000"/>
                <w:sz w:val="22"/>
                <w:szCs w:val="22"/>
                <w:u w:val="none"/>
              </w:rPr>
            </w:pPr>
            <w:r>
              <w:rPr>
                <w:rFonts w:hint="default" w:ascii="Calibri" w:hAnsi="Calibri" w:eastAsia="宋体" w:cs="Calibri"/>
                <w:i w:val="0"/>
                <w:color w:val="000000"/>
                <w:kern w:val="0"/>
                <w:sz w:val="22"/>
                <w:szCs w:val="22"/>
                <w:u w:val="none"/>
                <w:bdr w:val="none" w:color="auto" w:sz="0" w:space="0"/>
                <w:lang w:val="en-US" w:eastAsia="zh-CN" w:bidi="ar"/>
              </w:rPr>
              <w:t>0.845256</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right"/>
              <w:textAlignment w:val="center"/>
              <w:rPr>
                <w:rFonts w:hint="default" w:ascii="Calibri" w:hAnsi="Calibri" w:cs="Calibri"/>
                <w:i w:val="0"/>
                <w:color w:val="000000"/>
                <w:sz w:val="22"/>
                <w:szCs w:val="22"/>
                <w:u w:val="none"/>
              </w:rPr>
            </w:pPr>
            <w:r>
              <w:rPr>
                <w:rFonts w:hint="default" w:ascii="Calibri" w:hAnsi="Calibri" w:eastAsia="宋体" w:cs="Calibri"/>
                <w:i w:val="0"/>
                <w:color w:val="000000"/>
                <w:kern w:val="0"/>
                <w:sz w:val="22"/>
                <w:szCs w:val="22"/>
                <w:u w:val="none"/>
                <w:bdr w:val="none" w:color="auto" w:sz="0" w:space="0"/>
                <w:lang w:val="en-US" w:eastAsia="zh-CN" w:bidi="ar"/>
              </w:rPr>
              <w:t>0.993257</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right"/>
              <w:textAlignment w:val="center"/>
              <w:rPr>
                <w:rFonts w:hint="default" w:ascii="Calibri" w:hAnsi="Calibri" w:cs="Calibri"/>
                <w:i w:val="0"/>
                <w:color w:val="000000"/>
                <w:sz w:val="22"/>
                <w:szCs w:val="22"/>
                <w:u w:val="none"/>
              </w:rPr>
            </w:pPr>
            <w:r>
              <w:rPr>
                <w:rFonts w:hint="default" w:ascii="Calibri" w:hAnsi="Calibri" w:eastAsia="宋体" w:cs="Calibri"/>
                <w:i w:val="0"/>
                <w:color w:val="000000"/>
                <w:kern w:val="0"/>
                <w:sz w:val="22"/>
                <w:szCs w:val="22"/>
                <w:u w:val="none"/>
                <w:bdr w:val="none" w:color="auto" w:sz="0" w:space="0"/>
                <w:lang w:val="en-US" w:eastAsia="zh-CN" w:bidi="ar"/>
              </w:rPr>
              <w:t>0.796288</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right"/>
              <w:textAlignment w:val="center"/>
              <w:rPr>
                <w:rFonts w:hint="default" w:ascii="Calibri" w:hAnsi="Calibri" w:cs="Calibri"/>
                <w:i w:val="0"/>
                <w:color w:val="000000"/>
                <w:sz w:val="22"/>
                <w:szCs w:val="22"/>
                <w:u w:val="none"/>
              </w:rPr>
            </w:pPr>
            <w:r>
              <w:rPr>
                <w:rFonts w:hint="default" w:ascii="Calibri" w:hAnsi="Calibri" w:eastAsia="宋体" w:cs="Calibri"/>
                <w:i w:val="0"/>
                <w:color w:val="000000"/>
                <w:kern w:val="0"/>
                <w:sz w:val="22"/>
                <w:szCs w:val="22"/>
                <w:u w:val="none"/>
                <w:bdr w:val="none" w:color="auto" w:sz="0" w:space="0"/>
                <w:lang w:val="en-US" w:eastAsia="zh-CN" w:bidi="ar"/>
              </w:rPr>
              <w:t>0.879849</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right"/>
              <w:textAlignment w:val="center"/>
              <w:rPr>
                <w:rFonts w:hint="default" w:ascii="Calibri" w:hAnsi="Calibri" w:cs="Calibri"/>
                <w:i w:val="0"/>
                <w:color w:val="000000"/>
                <w:sz w:val="22"/>
                <w:szCs w:val="22"/>
                <w:u w:val="none"/>
              </w:rPr>
            </w:pPr>
            <w:r>
              <w:rPr>
                <w:rFonts w:hint="default" w:ascii="Calibri" w:hAnsi="Calibri" w:eastAsia="宋体" w:cs="Calibri"/>
                <w:i w:val="0"/>
                <w:color w:val="000000"/>
                <w:kern w:val="0"/>
                <w:sz w:val="22"/>
                <w:szCs w:val="22"/>
                <w:u w:val="none"/>
                <w:bdr w:val="none" w:color="auto" w:sz="0" w:space="0"/>
                <w:lang w:val="en-US" w:eastAsia="zh-CN" w:bidi="ar"/>
              </w:rPr>
              <w:t>0.8786625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right"/>
              <w:textAlignment w:val="center"/>
              <w:rPr>
                <w:rFonts w:hint="default" w:ascii="Calibri" w:hAnsi="Calibri" w:cs="Calibri"/>
                <w:i w:val="0"/>
                <w:color w:val="000000"/>
                <w:sz w:val="22"/>
                <w:szCs w:val="22"/>
                <w:u w:val="none"/>
              </w:rPr>
            </w:pPr>
            <w:r>
              <w:rPr>
                <w:rFonts w:hint="default" w:ascii="Calibri" w:hAnsi="Calibri" w:eastAsia="宋体" w:cs="Calibri"/>
                <w:i w:val="0"/>
                <w:color w:val="000000"/>
                <w:kern w:val="0"/>
                <w:sz w:val="22"/>
                <w:szCs w:val="22"/>
                <w:u w:val="none"/>
                <w:bdr w:val="none" w:color="auto" w:sz="0" w:space="0"/>
                <w:lang w:val="en-US" w:eastAsia="zh-CN" w:bidi="ar"/>
              </w:rPr>
              <w:t>63</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right"/>
              <w:textAlignment w:val="center"/>
              <w:rPr>
                <w:rFonts w:hint="default" w:ascii="Calibri" w:hAnsi="Calibri" w:cs="Calibri"/>
                <w:i w:val="0"/>
                <w:color w:val="000000"/>
                <w:sz w:val="22"/>
                <w:szCs w:val="22"/>
                <w:u w:val="none"/>
              </w:rPr>
            </w:pPr>
            <w:r>
              <w:rPr>
                <w:rFonts w:hint="default" w:ascii="Calibri" w:hAnsi="Calibri" w:eastAsia="宋体" w:cs="Calibri"/>
                <w:i w:val="0"/>
                <w:color w:val="000000"/>
                <w:kern w:val="0"/>
                <w:sz w:val="22"/>
                <w:szCs w:val="22"/>
                <w:u w:val="none"/>
                <w:bdr w:val="none" w:color="auto" w:sz="0" w:space="0"/>
                <w:lang w:val="en-US" w:eastAsia="zh-CN" w:bidi="ar"/>
              </w:rPr>
              <w:t>6</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right"/>
              <w:textAlignment w:val="center"/>
              <w:rPr>
                <w:rFonts w:hint="default" w:ascii="Calibri" w:hAnsi="Calibri" w:cs="Calibri"/>
                <w:i w:val="0"/>
                <w:color w:val="000000"/>
                <w:sz w:val="22"/>
                <w:szCs w:val="22"/>
                <w:u w:val="none"/>
              </w:rPr>
            </w:pPr>
            <w:r>
              <w:rPr>
                <w:rFonts w:hint="default" w:ascii="Calibri" w:hAnsi="Calibri" w:eastAsia="宋体" w:cs="Calibri"/>
                <w:i w:val="0"/>
                <w:color w:val="000000"/>
                <w:kern w:val="0"/>
                <w:sz w:val="22"/>
                <w:szCs w:val="22"/>
                <w:u w:val="none"/>
                <w:bdr w:val="none" w:color="auto" w:sz="0" w:space="0"/>
                <w:lang w:val="en-US" w:eastAsia="zh-CN" w:bidi="ar"/>
              </w:rPr>
              <w:t>0.898382</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right"/>
              <w:textAlignment w:val="center"/>
              <w:rPr>
                <w:rFonts w:hint="default" w:ascii="Calibri" w:hAnsi="Calibri" w:cs="Calibri"/>
                <w:i w:val="0"/>
                <w:color w:val="000000"/>
                <w:sz w:val="22"/>
                <w:szCs w:val="22"/>
                <w:u w:val="none"/>
              </w:rPr>
            </w:pPr>
            <w:r>
              <w:rPr>
                <w:rFonts w:hint="default" w:ascii="Calibri" w:hAnsi="Calibri" w:eastAsia="宋体" w:cs="Calibri"/>
                <w:i w:val="0"/>
                <w:color w:val="000000"/>
                <w:kern w:val="0"/>
                <w:sz w:val="22"/>
                <w:szCs w:val="22"/>
                <w:u w:val="none"/>
                <w:bdr w:val="none" w:color="auto" w:sz="0" w:space="0"/>
                <w:lang w:val="en-US" w:eastAsia="zh-CN" w:bidi="ar"/>
              </w:rPr>
              <w:t>0.994314</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right"/>
              <w:textAlignment w:val="center"/>
              <w:rPr>
                <w:rFonts w:hint="default" w:ascii="Calibri" w:hAnsi="Calibri" w:cs="Calibri"/>
                <w:i w:val="0"/>
                <w:color w:val="000000"/>
                <w:sz w:val="22"/>
                <w:szCs w:val="22"/>
                <w:u w:val="none"/>
              </w:rPr>
            </w:pPr>
            <w:r>
              <w:rPr>
                <w:rFonts w:hint="default" w:ascii="Calibri" w:hAnsi="Calibri" w:eastAsia="宋体" w:cs="Calibri"/>
                <w:i w:val="0"/>
                <w:color w:val="000000"/>
                <w:kern w:val="0"/>
                <w:sz w:val="22"/>
                <w:szCs w:val="22"/>
                <w:u w:val="none"/>
                <w:bdr w:val="none" w:color="auto" w:sz="0" w:space="0"/>
                <w:lang w:val="en-US" w:eastAsia="zh-CN" w:bidi="ar"/>
              </w:rPr>
              <w:t>0.847604</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right"/>
              <w:textAlignment w:val="center"/>
              <w:rPr>
                <w:rFonts w:hint="default" w:ascii="Calibri" w:hAnsi="Calibri" w:cs="Calibri"/>
                <w:i w:val="0"/>
                <w:color w:val="000000"/>
                <w:sz w:val="22"/>
                <w:szCs w:val="22"/>
                <w:u w:val="none"/>
              </w:rPr>
            </w:pPr>
            <w:r>
              <w:rPr>
                <w:rFonts w:hint="default" w:ascii="Calibri" w:hAnsi="Calibri" w:eastAsia="宋体" w:cs="Calibri"/>
                <w:i w:val="0"/>
                <w:color w:val="000000"/>
                <w:kern w:val="0"/>
                <w:sz w:val="22"/>
                <w:szCs w:val="22"/>
                <w:u w:val="none"/>
                <w:bdr w:val="none" w:color="auto" w:sz="0" w:space="0"/>
                <w:lang w:val="en-US" w:eastAsia="zh-CN" w:bidi="ar"/>
              </w:rPr>
              <w:t>0.925316</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right"/>
              <w:textAlignment w:val="center"/>
              <w:rPr>
                <w:rFonts w:hint="default" w:ascii="Calibri" w:hAnsi="Calibri" w:cs="Calibri"/>
                <w:i w:val="0"/>
                <w:color w:val="000000"/>
                <w:sz w:val="22"/>
                <w:szCs w:val="22"/>
                <w:u w:val="none"/>
              </w:rPr>
            </w:pPr>
            <w:r>
              <w:rPr>
                <w:rFonts w:hint="default" w:ascii="Calibri" w:hAnsi="Calibri" w:eastAsia="宋体" w:cs="Calibri"/>
                <w:i w:val="0"/>
                <w:color w:val="000000"/>
                <w:kern w:val="0"/>
                <w:sz w:val="22"/>
                <w:szCs w:val="22"/>
                <w:u w:val="none"/>
                <w:bdr w:val="none" w:color="auto" w:sz="0" w:space="0"/>
                <w:lang w:val="en-US" w:eastAsia="zh-CN" w:bidi="ar"/>
              </w:rPr>
              <w:t>0.916404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right"/>
              <w:textAlignment w:val="center"/>
              <w:rPr>
                <w:rFonts w:hint="default" w:ascii="Calibri" w:hAnsi="Calibri" w:cs="Calibri"/>
                <w:i w:val="0"/>
                <w:color w:val="000000"/>
                <w:sz w:val="22"/>
                <w:szCs w:val="22"/>
                <w:u w:val="none"/>
              </w:rPr>
            </w:pPr>
            <w:r>
              <w:rPr>
                <w:rFonts w:hint="default" w:ascii="Calibri" w:hAnsi="Calibri" w:eastAsia="宋体" w:cs="Calibri"/>
                <w:i w:val="0"/>
                <w:color w:val="000000"/>
                <w:kern w:val="0"/>
                <w:sz w:val="22"/>
                <w:szCs w:val="22"/>
                <w:u w:val="none"/>
                <w:bdr w:val="none" w:color="auto" w:sz="0" w:space="0"/>
                <w:lang w:val="en-US" w:eastAsia="zh-CN" w:bidi="ar"/>
              </w:rPr>
              <w:t>63</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right"/>
              <w:textAlignment w:val="center"/>
              <w:rPr>
                <w:rFonts w:hint="default" w:ascii="Calibri" w:hAnsi="Calibri" w:cs="Calibri"/>
                <w:i w:val="0"/>
                <w:color w:val="000000"/>
                <w:sz w:val="22"/>
                <w:szCs w:val="22"/>
                <w:u w:val="none"/>
              </w:rPr>
            </w:pPr>
            <w:r>
              <w:rPr>
                <w:rFonts w:hint="default" w:ascii="Calibri" w:hAnsi="Calibri" w:eastAsia="宋体" w:cs="Calibri"/>
                <w:i w:val="0"/>
                <w:color w:val="000000"/>
                <w:kern w:val="0"/>
                <w:sz w:val="22"/>
                <w:szCs w:val="22"/>
                <w:u w:val="none"/>
                <w:bdr w:val="none" w:color="auto" w:sz="0" w:space="0"/>
                <w:lang w:val="en-US" w:eastAsia="zh-CN" w:bidi="ar"/>
              </w:rPr>
              <w:t>7</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right"/>
              <w:textAlignment w:val="center"/>
              <w:rPr>
                <w:rFonts w:hint="default" w:ascii="Calibri" w:hAnsi="Calibri" w:cs="Calibri"/>
                <w:i w:val="0"/>
                <w:color w:val="000000"/>
                <w:sz w:val="22"/>
                <w:szCs w:val="22"/>
                <w:u w:val="none"/>
              </w:rPr>
            </w:pPr>
            <w:r>
              <w:rPr>
                <w:rFonts w:hint="default" w:ascii="Calibri" w:hAnsi="Calibri" w:eastAsia="宋体" w:cs="Calibri"/>
                <w:i w:val="0"/>
                <w:color w:val="000000"/>
                <w:kern w:val="0"/>
                <w:sz w:val="22"/>
                <w:szCs w:val="22"/>
                <w:u w:val="none"/>
                <w:bdr w:val="none" w:color="auto" w:sz="0" w:space="0"/>
                <w:lang w:val="en-US" w:eastAsia="zh-CN" w:bidi="ar"/>
              </w:rPr>
              <w:t>0.936807</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right"/>
              <w:textAlignment w:val="center"/>
              <w:rPr>
                <w:rFonts w:hint="default" w:ascii="Calibri" w:hAnsi="Calibri" w:cs="Calibri"/>
                <w:i w:val="0"/>
                <w:color w:val="000000"/>
                <w:sz w:val="22"/>
                <w:szCs w:val="22"/>
                <w:u w:val="none"/>
              </w:rPr>
            </w:pPr>
            <w:r>
              <w:rPr>
                <w:rFonts w:hint="default" w:ascii="Calibri" w:hAnsi="Calibri" w:eastAsia="宋体" w:cs="Calibri"/>
                <w:i w:val="0"/>
                <w:color w:val="000000"/>
                <w:kern w:val="0"/>
                <w:sz w:val="22"/>
                <w:szCs w:val="22"/>
                <w:u w:val="none"/>
                <w:bdr w:val="none" w:color="auto" w:sz="0" w:space="0"/>
                <w:lang w:val="en-US" w:eastAsia="zh-CN" w:bidi="ar"/>
              </w:rPr>
              <w:t>0.994337</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right"/>
              <w:textAlignment w:val="center"/>
              <w:rPr>
                <w:rFonts w:hint="default" w:ascii="Calibri" w:hAnsi="Calibri" w:cs="Calibri"/>
                <w:i w:val="0"/>
                <w:color w:val="000000"/>
                <w:sz w:val="22"/>
                <w:szCs w:val="22"/>
                <w:u w:val="none"/>
              </w:rPr>
            </w:pPr>
            <w:r>
              <w:rPr>
                <w:rFonts w:hint="default" w:ascii="Calibri" w:hAnsi="Calibri" w:eastAsia="宋体" w:cs="Calibri"/>
                <w:i w:val="0"/>
                <w:color w:val="000000"/>
                <w:kern w:val="0"/>
                <w:sz w:val="22"/>
                <w:szCs w:val="22"/>
                <w:u w:val="none"/>
                <w:bdr w:val="none" w:color="auto" w:sz="0" w:space="0"/>
                <w:lang w:val="en-US" w:eastAsia="zh-CN" w:bidi="ar"/>
              </w:rPr>
              <w:t>0.890876</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right"/>
              <w:textAlignment w:val="center"/>
              <w:rPr>
                <w:rFonts w:hint="default" w:ascii="Calibri" w:hAnsi="Calibri" w:cs="Calibri"/>
                <w:i w:val="0"/>
                <w:color w:val="000000"/>
                <w:sz w:val="22"/>
                <w:szCs w:val="22"/>
                <w:u w:val="none"/>
              </w:rPr>
            </w:pPr>
            <w:r>
              <w:rPr>
                <w:rFonts w:hint="default" w:ascii="Calibri" w:hAnsi="Calibri" w:eastAsia="宋体" w:cs="Calibri"/>
                <w:i w:val="0"/>
                <w:color w:val="000000"/>
                <w:kern w:val="0"/>
                <w:sz w:val="22"/>
                <w:szCs w:val="22"/>
                <w:u w:val="none"/>
                <w:bdr w:val="none" w:color="auto" w:sz="0" w:space="0"/>
                <w:lang w:val="en-US" w:eastAsia="zh-CN" w:bidi="ar"/>
              </w:rPr>
              <w:t>0.944968</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right"/>
              <w:textAlignment w:val="center"/>
              <w:rPr>
                <w:rFonts w:hint="default" w:ascii="Calibri" w:hAnsi="Calibri" w:cs="Calibri"/>
                <w:i w:val="0"/>
                <w:color w:val="000000"/>
                <w:sz w:val="22"/>
                <w:szCs w:val="22"/>
                <w:u w:val="none"/>
              </w:rPr>
            </w:pPr>
            <w:r>
              <w:rPr>
                <w:rFonts w:hint="default" w:ascii="Calibri" w:hAnsi="Calibri" w:eastAsia="宋体" w:cs="Calibri"/>
                <w:i w:val="0"/>
                <w:color w:val="000000"/>
                <w:kern w:val="0"/>
                <w:sz w:val="22"/>
                <w:szCs w:val="22"/>
                <w:u w:val="none"/>
                <w:bdr w:val="none" w:color="auto" w:sz="0" w:space="0"/>
                <w:lang w:val="en-US" w:eastAsia="zh-CN" w:bidi="ar"/>
              </w:rPr>
              <w:t>0.941747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right"/>
              <w:textAlignment w:val="center"/>
              <w:rPr>
                <w:rFonts w:hint="default" w:ascii="Calibri" w:hAnsi="Calibri" w:cs="Calibri"/>
                <w:i w:val="0"/>
                <w:color w:val="000000"/>
                <w:sz w:val="22"/>
                <w:szCs w:val="22"/>
                <w:u w:val="none"/>
              </w:rPr>
            </w:pPr>
            <w:r>
              <w:rPr>
                <w:rFonts w:hint="default" w:ascii="Calibri" w:hAnsi="Calibri" w:eastAsia="宋体" w:cs="Calibri"/>
                <w:i w:val="0"/>
                <w:color w:val="000000"/>
                <w:kern w:val="0"/>
                <w:sz w:val="22"/>
                <w:szCs w:val="22"/>
                <w:u w:val="none"/>
                <w:bdr w:val="none" w:color="auto" w:sz="0" w:space="0"/>
                <w:lang w:val="en-US" w:eastAsia="zh-CN" w:bidi="ar"/>
              </w:rPr>
              <w:t>35</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right"/>
              <w:textAlignment w:val="center"/>
              <w:rPr>
                <w:rFonts w:hint="default" w:ascii="Calibri" w:hAnsi="Calibri" w:cs="Calibri"/>
                <w:i w:val="0"/>
                <w:color w:val="000000"/>
                <w:sz w:val="22"/>
                <w:szCs w:val="22"/>
                <w:u w:val="none"/>
              </w:rPr>
            </w:pPr>
            <w:r>
              <w:rPr>
                <w:rFonts w:hint="default" w:ascii="Calibri" w:hAnsi="Calibri" w:eastAsia="宋体" w:cs="Calibri"/>
                <w:i w:val="0"/>
                <w:color w:val="000000"/>
                <w:kern w:val="0"/>
                <w:sz w:val="22"/>
                <w:szCs w:val="22"/>
                <w:u w:val="none"/>
                <w:bdr w:val="none" w:color="auto" w:sz="0" w:space="0"/>
                <w:lang w:val="en-US" w:eastAsia="zh-CN" w:bidi="ar"/>
              </w:rPr>
              <w:t>8</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right"/>
              <w:textAlignment w:val="center"/>
              <w:rPr>
                <w:rFonts w:hint="default" w:ascii="Calibri" w:hAnsi="Calibri" w:cs="Calibri"/>
                <w:i w:val="0"/>
                <w:color w:val="000000"/>
                <w:sz w:val="22"/>
                <w:szCs w:val="22"/>
                <w:u w:val="none"/>
              </w:rPr>
            </w:pPr>
            <w:r>
              <w:rPr>
                <w:rFonts w:hint="default" w:ascii="Calibri" w:hAnsi="Calibri" w:eastAsia="宋体" w:cs="Calibri"/>
                <w:i w:val="0"/>
                <w:color w:val="000000"/>
                <w:kern w:val="0"/>
                <w:sz w:val="22"/>
                <w:szCs w:val="22"/>
                <w:u w:val="none"/>
                <w:bdr w:val="none" w:color="auto" w:sz="0" w:space="0"/>
                <w:lang w:val="en-US" w:eastAsia="zh-CN" w:bidi="ar"/>
              </w:rPr>
              <w:t>0.956316</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right"/>
              <w:textAlignment w:val="center"/>
              <w:rPr>
                <w:rFonts w:hint="default" w:ascii="Calibri" w:hAnsi="Calibri" w:cs="Calibri"/>
                <w:i w:val="0"/>
                <w:color w:val="000000"/>
                <w:sz w:val="22"/>
                <w:szCs w:val="22"/>
                <w:u w:val="none"/>
              </w:rPr>
            </w:pPr>
            <w:r>
              <w:rPr>
                <w:rFonts w:hint="default" w:ascii="Calibri" w:hAnsi="Calibri" w:eastAsia="宋体" w:cs="Calibri"/>
                <w:i w:val="0"/>
                <w:color w:val="000000"/>
                <w:kern w:val="0"/>
                <w:sz w:val="22"/>
                <w:szCs w:val="22"/>
                <w:u w:val="none"/>
                <w:bdr w:val="none" w:color="auto" w:sz="0" w:space="0"/>
                <w:lang w:val="en-US" w:eastAsia="zh-CN" w:bidi="ar"/>
              </w:rPr>
              <w:t>0.994289</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right"/>
              <w:textAlignment w:val="center"/>
              <w:rPr>
                <w:rFonts w:hint="default" w:ascii="Calibri" w:hAnsi="Calibri" w:cs="Calibri"/>
                <w:i w:val="0"/>
                <w:color w:val="000000"/>
                <w:sz w:val="22"/>
                <w:szCs w:val="22"/>
                <w:u w:val="none"/>
              </w:rPr>
            </w:pPr>
            <w:r>
              <w:rPr>
                <w:rFonts w:hint="default" w:ascii="Calibri" w:hAnsi="Calibri" w:eastAsia="宋体" w:cs="Calibri"/>
                <w:i w:val="0"/>
                <w:color w:val="000000"/>
                <w:kern w:val="0"/>
                <w:sz w:val="22"/>
                <w:szCs w:val="22"/>
                <w:u w:val="none"/>
                <w:bdr w:val="none" w:color="auto" w:sz="0" w:space="0"/>
                <w:lang w:val="en-US" w:eastAsia="zh-CN" w:bidi="ar"/>
              </w:rPr>
              <w:t>0.919927</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right"/>
              <w:textAlignment w:val="center"/>
              <w:rPr>
                <w:rFonts w:hint="default" w:ascii="Calibri" w:hAnsi="Calibri" w:cs="Calibri"/>
                <w:i w:val="0"/>
                <w:color w:val="000000"/>
                <w:sz w:val="22"/>
                <w:szCs w:val="22"/>
                <w:u w:val="none"/>
              </w:rPr>
            </w:pPr>
            <w:r>
              <w:rPr>
                <w:rFonts w:hint="default" w:ascii="Calibri" w:hAnsi="Calibri" w:eastAsia="宋体" w:cs="Calibri"/>
                <w:i w:val="0"/>
                <w:color w:val="000000"/>
                <w:kern w:val="0"/>
                <w:sz w:val="22"/>
                <w:szCs w:val="22"/>
                <w:u w:val="none"/>
                <w:bdr w:val="none" w:color="auto" w:sz="0" w:space="0"/>
                <w:lang w:val="en-US" w:eastAsia="zh-CN" w:bidi="ar"/>
              </w:rPr>
              <w:t>0.948859</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right"/>
              <w:textAlignment w:val="center"/>
              <w:rPr>
                <w:rFonts w:hint="default" w:ascii="Calibri" w:hAnsi="Calibri" w:cs="Calibri"/>
                <w:i w:val="0"/>
                <w:color w:val="000000"/>
                <w:sz w:val="22"/>
                <w:szCs w:val="22"/>
                <w:u w:val="none"/>
              </w:rPr>
            </w:pPr>
            <w:r>
              <w:rPr>
                <w:rFonts w:hint="default" w:ascii="Calibri" w:hAnsi="Calibri" w:eastAsia="宋体" w:cs="Calibri"/>
                <w:i w:val="0"/>
                <w:color w:val="000000"/>
                <w:kern w:val="0"/>
                <w:sz w:val="22"/>
                <w:szCs w:val="22"/>
                <w:u w:val="none"/>
                <w:bdr w:val="none" w:color="auto" w:sz="0" w:space="0"/>
                <w:lang w:val="en-US" w:eastAsia="zh-CN" w:bidi="ar"/>
              </w:rPr>
              <w:t>0.95484775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right"/>
              <w:textAlignment w:val="center"/>
              <w:rPr>
                <w:rFonts w:hint="default" w:ascii="Calibri" w:hAnsi="Calibri" w:cs="Calibri"/>
                <w:b/>
                <w:i w:val="0"/>
                <w:color w:val="FF0000"/>
                <w:sz w:val="22"/>
                <w:szCs w:val="22"/>
                <w:u w:val="none"/>
              </w:rPr>
            </w:pPr>
            <w:r>
              <w:rPr>
                <w:rFonts w:hint="default" w:ascii="Calibri" w:hAnsi="Calibri" w:eastAsia="宋体" w:cs="Calibri"/>
                <w:b/>
                <w:i w:val="0"/>
                <w:color w:val="FF0000"/>
                <w:kern w:val="0"/>
                <w:sz w:val="22"/>
                <w:szCs w:val="22"/>
                <w:u w:val="none"/>
                <w:bdr w:val="none" w:color="auto" w:sz="0" w:space="0"/>
                <w:lang w:val="en-US" w:eastAsia="zh-CN" w:bidi="ar"/>
              </w:rPr>
              <w:t>20</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right"/>
              <w:textAlignment w:val="center"/>
              <w:rPr>
                <w:rFonts w:hint="default" w:ascii="Calibri" w:hAnsi="Calibri" w:cs="Calibri"/>
                <w:b/>
                <w:i w:val="0"/>
                <w:color w:val="FF0000"/>
                <w:sz w:val="22"/>
                <w:szCs w:val="22"/>
                <w:u w:val="none"/>
              </w:rPr>
            </w:pPr>
            <w:r>
              <w:rPr>
                <w:rFonts w:hint="default" w:ascii="Calibri" w:hAnsi="Calibri" w:eastAsia="宋体" w:cs="Calibri"/>
                <w:b/>
                <w:i w:val="0"/>
                <w:color w:val="FF0000"/>
                <w:kern w:val="0"/>
                <w:sz w:val="22"/>
                <w:szCs w:val="22"/>
                <w:u w:val="none"/>
                <w:bdr w:val="none" w:color="auto" w:sz="0" w:space="0"/>
                <w:lang w:val="en-US" w:eastAsia="zh-CN" w:bidi="ar"/>
              </w:rPr>
              <w:t>9</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right"/>
              <w:textAlignment w:val="center"/>
              <w:rPr>
                <w:rFonts w:hint="default" w:ascii="Calibri" w:hAnsi="Calibri" w:cs="Calibri"/>
                <w:b/>
                <w:i w:val="0"/>
                <w:color w:val="FF0000"/>
                <w:sz w:val="22"/>
                <w:szCs w:val="22"/>
                <w:u w:val="none"/>
              </w:rPr>
            </w:pPr>
            <w:r>
              <w:rPr>
                <w:rFonts w:hint="default" w:ascii="Calibri" w:hAnsi="Calibri" w:eastAsia="宋体" w:cs="Calibri"/>
                <w:b/>
                <w:i w:val="0"/>
                <w:color w:val="FF0000"/>
                <w:kern w:val="0"/>
                <w:sz w:val="22"/>
                <w:szCs w:val="22"/>
                <w:u w:val="none"/>
                <w:bdr w:val="none" w:color="auto" w:sz="0" w:space="0"/>
                <w:lang w:val="en-US" w:eastAsia="zh-CN" w:bidi="ar"/>
              </w:rPr>
              <w:t>0.966744</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right"/>
              <w:textAlignment w:val="center"/>
              <w:rPr>
                <w:rFonts w:hint="default" w:ascii="Calibri" w:hAnsi="Calibri" w:cs="Calibri"/>
                <w:b/>
                <w:i w:val="0"/>
                <w:color w:val="FF0000"/>
                <w:sz w:val="22"/>
                <w:szCs w:val="22"/>
                <w:u w:val="none"/>
              </w:rPr>
            </w:pPr>
            <w:r>
              <w:rPr>
                <w:rFonts w:hint="default" w:ascii="Calibri" w:hAnsi="Calibri" w:eastAsia="宋体" w:cs="Calibri"/>
                <w:b/>
                <w:i w:val="0"/>
                <w:color w:val="FF0000"/>
                <w:kern w:val="0"/>
                <w:sz w:val="22"/>
                <w:szCs w:val="22"/>
                <w:u w:val="none"/>
                <w:bdr w:val="none" w:color="auto" w:sz="0" w:space="0"/>
                <w:lang w:val="en-US" w:eastAsia="zh-CN" w:bidi="ar"/>
              </w:rPr>
              <w:t>0.981723</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right"/>
              <w:textAlignment w:val="center"/>
              <w:rPr>
                <w:rFonts w:hint="default" w:ascii="Calibri" w:hAnsi="Calibri" w:cs="Calibri"/>
                <w:b/>
                <w:i w:val="0"/>
                <w:color w:val="FF0000"/>
                <w:sz w:val="22"/>
                <w:szCs w:val="22"/>
                <w:u w:val="none"/>
              </w:rPr>
            </w:pPr>
            <w:r>
              <w:rPr>
                <w:rFonts w:hint="default" w:ascii="Calibri" w:hAnsi="Calibri" w:eastAsia="宋体" w:cs="Calibri"/>
                <w:b/>
                <w:i w:val="0"/>
                <w:color w:val="FF0000"/>
                <w:kern w:val="0"/>
                <w:sz w:val="22"/>
                <w:szCs w:val="22"/>
                <w:u w:val="none"/>
                <w:bdr w:val="none" w:color="auto" w:sz="0" w:space="0"/>
                <w:lang w:val="en-US" w:eastAsia="zh-CN" w:bidi="ar"/>
              </w:rPr>
              <w:t>0.93747</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right"/>
              <w:textAlignment w:val="center"/>
              <w:rPr>
                <w:rFonts w:hint="default" w:ascii="Calibri" w:hAnsi="Calibri" w:cs="Calibri"/>
                <w:b/>
                <w:i w:val="0"/>
                <w:color w:val="FF0000"/>
                <w:sz w:val="22"/>
                <w:szCs w:val="22"/>
                <w:u w:val="none"/>
              </w:rPr>
            </w:pPr>
            <w:r>
              <w:rPr>
                <w:rFonts w:hint="default" w:ascii="Calibri" w:hAnsi="Calibri" w:eastAsia="宋体" w:cs="Calibri"/>
                <w:b/>
                <w:i w:val="0"/>
                <w:color w:val="FF0000"/>
                <w:kern w:val="0"/>
                <w:sz w:val="22"/>
                <w:szCs w:val="22"/>
                <w:u w:val="none"/>
                <w:bdr w:val="none" w:color="auto" w:sz="0" w:space="0"/>
                <w:lang w:val="en-US" w:eastAsia="zh-CN" w:bidi="ar"/>
              </w:rPr>
              <w:t>0.948499</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right"/>
              <w:textAlignment w:val="center"/>
              <w:rPr>
                <w:rFonts w:hint="default" w:ascii="Calibri" w:hAnsi="Calibri" w:cs="Calibri"/>
                <w:b/>
                <w:i w:val="0"/>
                <w:color w:val="FF0000"/>
                <w:sz w:val="22"/>
                <w:szCs w:val="22"/>
                <w:u w:val="none"/>
              </w:rPr>
            </w:pPr>
            <w:r>
              <w:rPr>
                <w:rFonts w:hint="default" w:ascii="Calibri" w:hAnsi="Calibri" w:eastAsia="宋体" w:cs="Calibri"/>
                <w:b/>
                <w:i w:val="0"/>
                <w:color w:val="FF0000"/>
                <w:kern w:val="0"/>
                <w:sz w:val="22"/>
                <w:szCs w:val="22"/>
                <w:u w:val="none"/>
                <w:bdr w:val="none" w:color="auto" w:sz="0" w:space="0"/>
                <w:lang w:val="en-US" w:eastAsia="zh-CN" w:bidi="ar"/>
              </w:rPr>
              <w:t>0.958609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right"/>
              <w:textAlignment w:val="center"/>
              <w:rPr>
                <w:rFonts w:hint="default" w:ascii="Calibri" w:hAnsi="Calibri" w:cs="Calibri"/>
                <w:i w:val="0"/>
                <w:color w:val="000000"/>
                <w:sz w:val="22"/>
                <w:szCs w:val="22"/>
                <w:u w:val="none"/>
              </w:rPr>
            </w:pPr>
            <w:r>
              <w:rPr>
                <w:rFonts w:hint="default" w:ascii="Calibri" w:hAnsi="Calibri" w:eastAsia="宋体" w:cs="Calibri"/>
                <w:i w:val="0"/>
                <w:color w:val="000000"/>
                <w:kern w:val="0"/>
                <w:sz w:val="22"/>
                <w:szCs w:val="22"/>
                <w:u w:val="none"/>
                <w:bdr w:val="none" w:color="auto" w:sz="0" w:space="0"/>
                <w:lang w:val="en-US" w:eastAsia="zh-CN" w:bidi="ar"/>
              </w:rPr>
              <w:t>9</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right"/>
              <w:textAlignment w:val="center"/>
              <w:rPr>
                <w:rFonts w:hint="default" w:ascii="Calibri" w:hAnsi="Calibri" w:cs="Calibri"/>
                <w:i w:val="0"/>
                <w:color w:val="000000"/>
                <w:sz w:val="22"/>
                <w:szCs w:val="22"/>
                <w:u w:val="none"/>
              </w:rPr>
            </w:pPr>
            <w:r>
              <w:rPr>
                <w:rFonts w:hint="default" w:ascii="Calibri" w:hAnsi="Calibri" w:eastAsia="宋体" w:cs="Calibri"/>
                <w:i w:val="0"/>
                <w:color w:val="000000"/>
                <w:kern w:val="0"/>
                <w:sz w:val="22"/>
                <w:szCs w:val="22"/>
                <w:u w:val="none"/>
                <w:bdr w:val="none" w:color="auto" w:sz="0" w:space="0"/>
                <w:lang w:val="en-US" w:eastAsia="zh-CN" w:bidi="ar"/>
              </w:rPr>
              <w:t>10</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right"/>
              <w:textAlignment w:val="center"/>
              <w:rPr>
                <w:rFonts w:hint="default" w:ascii="Calibri" w:hAnsi="Calibri" w:cs="Calibri"/>
                <w:i w:val="0"/>
                <w:color w:val="000000"/>
                <w:sz w:val="22"/>
                <w:szCs w:val="22"/>
                <w:u w:val="none"/>
              </w:rPr>
            </w:pPr>
            <w:r>
              <w:rPr>
                <w:rFonts w:hint="default" w:ascii="Calibri" w:hAnsi="Calibri" w:eastAsia="宋体" w:cs="Calibri"/>
                <w:i w:val="0"/>
                <w:color w:val="000000"/>
                <w:kern w:val="0"/>
                <w:sz w:val="22"/>
                <w:szCs w:val="22"/>
                <w:u w:val="none"/>
                <w:bdr w:val="none" w:color="auto" w:sz="0" w:space="0"/>
                <w:lang w:val="en-US" w:eastAsia="zh-CN" w:bidi="ar"/>
              </w:rPr>
              <w:t>0.963747</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right"/>
              <w:textAlignment w:val="center"/>
              <w:rPr>
                <w:rFonts w:hint="default" w:ascii="Calibri" w:hAnsi="Calibri" w:cs="Calibri"/>
                <w:i w:val="0"/>
                <w:color w:val="000000"/>
                <w:sz w:val="22"/>
                <w:szCs w:val="22"/>
                <w:u w:val="none"/>
              </w:rPr>
            </w:pPr>
            <w:r>
              <w:rPr>
                <w:rFonts w:hint="default" w:ascii="Calibri" w:hAnsi="Calibri" w:eastAsia="宋体" w:cs="Calibri"/>
                <w:i w:val="0"/>
                <w:color w:val="000000"/>
                <w:kern w:val="0"/>
                <w:sz w:val="22"/>
                <w:szCs w:val="22"/>
                <w:u w:val="none"/>
                <w:bdr w:val="none" w:color="auto" w:sz="0" w:space="0"/>
                <w:lang w:val="en-US" w:eastAsia="zh-CN" w:bidi="ar"/>
              </w:rPr>
              <w:t>0.976885</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right"/>
              <w:textAlignment w:val="center"/>
              <w:rPr>
                <w:rFonts w:hint="default" w:ascii="Calibri" w:hAnsi="Calibri" w:cs="Calibri"/>
                <w:i w:val="0"/>
                <w:color w:val="000000"/>
                <w:sz w:val="22"/>
                <w:szCs w:val="22"/>
                <w:u w:val="none"/>
              </w:rPr>
            </w:pPr>
            <w:r>
              <w:rPr>
                <w:rFonts w:hint="default" w:ascii="Calibri" w:hAnsi="Calibri" w:eastAsia="宋体" w:cs="Calibri"/>
                <w:i w:val="0"/>
                <w:color w:val="000000"/>
                <w:kern w:val="0"/>
                <w:sz w:val="22"/>
                <w:szCs w:val="22"/>
                <w:u w:val="none"/>
                <w:bdr w:val="none" w:color="auto" w:sz="0" w:space="0"/>
                <w:lang w:val="en-US" w:eastAsia="zh-CN" w:bidi="ar"/>
              </w:rPr>
              <w:t>0.936194</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right"/>
              <w:textAlignment w:val="center"/>
              <w:rPr>
                <w:rFonts w:hint="default" w:ascii="Calibri" w:hAnsi="Calibri" w:cs="Calibri"/>
                <w:i w:val="0"/>
                <w:color w:val="000000"/>
                <w:sz w:val="22"/>
                <w:szCs w:val="22"/>
                <w:u w:val="none"/>
              </w:rPr>
            </w:pPr>
            <w:r>
              <w:rPr>
                <w:rFonts w:hint="default" w:ascii="Calibri" w:hAnsi="Calibri" w:eastAsia="宋体" w:cs="Calibri"/>
                <w:i w:val="0"/>
                <w:color w:val="000000"/>
                <w:kern w:val="0"/>
                <w:sz w:val="22"/>
                <w:szCs w:val="22"/>
                <w:u w:val="none"/>
                <w:bdr w:val="none" w:color="auto" w:sz="0" w:space="0"/>
                <w:lang w:val="en-US" w:eastAsia="zh-CN" w:bidi="ar"/>
              </w:rPr>
              <w:t>0.937763</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right"/>
              <w:textAlignment w:val="center"/>
              <w:rPr>
                <w:rFonts w:hint="default" w:ascii="Calibri" w:hAnsi="Calibri" w:cs="Calibri"/>
                <w:i w:val="0"/>
                <w:color w:val="000000"/>
                <w:sz w:val="22"/>
                <w:szCs w:val="22"/>
                <w:u w:val="none"/>
              </w:rPr>
            </w:pPr>
            <w:r>
              <w:rPr>
                <w:rFonts w:hint="default" w:ascii="Calibri" w:hAnsi="Calibri" w:eastAsia="宋体" w:cs="Calibri"/>
                <w:i w:val="0"/>
                <w:color w:val="000000"/>
                <w:kern w:val="0"/>
                <w:sz w:val="22"/>
                <w:szCs w:val="22"/>
                <w:u w:val="none"/>
                <w:bdr w:val="none" w:color="auto" w:sz="0" w:space="0"/>
                <w:lang w:val="en-US" w:eastAsia="zh-CN" w:bidi="ar"/>
              </w:rPr>
              <w:t>0.95364725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right"/>
              <w:textAlignment w:val="center"/>
              <w:rPr>
                <w:rFonts w:hint="default" w:ascii="Calibri" w:hAnsi="Calibri" w:cs="Calibri"/>
                <w:i w:val="0"/>
                <w:color w:val="000000"/>
                <w:sz w:val="22"/>
                <w:szCs w:val="22"/>
                <w:u w:val="none"/>
              </w:rPr>
            </w:pPr>
            <w:r>
              <w:rPr>
                <w:rFonts w:hint="default" w:ascii="Calibri" w:hAnsi="Calibri" w:eastAsia="宋体" w:cs="Calibri"/>
                <w:i w:val="0"/>
                <w:color w:val="000000"/>
                <w:kern w:val="0"/>
                <w:sz w:val="22"/>
                <w:szCs w:val="22"/>
                <w:u w:val="none"/>
                <w:bdr w:val="none" w:color="auto" w:sz="0" w:space="0"/>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right"/>
              <w:textAlignment w:val="center"/>
              <w:rPr>
                <w:rFonts w:hint="default" w:ascii="Calibri" w:hAnsi="Calibri" w:cs="Calibri"/>
                <w:i w:val="0"/>
                <w:color w:val="000000"/>
                <w:sz w:val="22"/>
                <w:szCs w:val="22"/>
                <w:u w:val="none"/>
              </w:rPr>
            </w:pPr>
            <w:r>
              <w:rPr>
                <w:rFonts w:hint="default" w:ascii="Calibri" w:hAnsi="Calibri" w:eastAsia="宋体" w:cs="Calibri"/>
                <w:i w:val="0"/>
                <w:color w:val="000000"/>
                <w:kern w:val="0"/>
                <w:sz w:val="22"/>
                <w:szCs w:val="22"/>
                <w:u w:val="none"/>
                <w:bdr w:val="none" w:color="auto" w:sz="0" w:space="0"/>
                <w:lang w:val="en-US" w:eastAsia="zh-CN" w:bidi="ar"/>
              </w:rPr>
              <w:t>11</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right"/>
              <w:textAlignment w:val="center"/>
              <w:rPr>
                <w:rFonts w:hint="default" w:ascii="Calibri" w:hAnsi="Calibri" w:cs="Calibri"/>
                <w:i w:val="0"/>
                <w:color w:val="000000"/>
                <w:sz w:val="22"/>
                <w:szCs w:val="22"/>
                <w:u w:val="none"/>
              </w:rPr>
            </w:pPr>
            <w:r>
              <w:rPr>
                <w:rFonts w:hint="default" w:ascii="Calibri" w:hAnsi="Calibri" w:eastAsia="宋体" w:cs="Calibri"/>
                <w:i w:val="0"/>
                <w:color w:val="000000"/>
                <w:kern w:val="0"/>
                <w:sz w:val="22"/>
                <w:szCs w:val="22"/>
                <w:u w:val="none"/>
                <w:bdr w:val="none" w:color="auto" w:sz="0" w:space="0"/>
                <w:lang w:val="en-US" w:eastAsia="zh-CN" w:bidi="ar"/>
              </w:rPr>
              <w:t>0.959833</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right"/>
              <w:textAlignment w:val="center"/>
              <w:rPr>
                <w:rFonts w:hint="default" w:ascii="Calibri" w:hAnsi="Calibri" w:cs="Calibri"/>
                <w:i w:val="0"/>
                <w:color w:val="000000"/>
                <w:sz w:val="22"/>
                <w:szCs w:val="22"/>
                <w:u w:val="none"/>
              </w:rPr>
            </w:pPr>
            <w:r>
              <w:rPr>
                <w:rFonts w:hint="default" w:ascii="Calibri" w:hAnsi="Calibri" w:eastAsia="宋体" w:cs="Calibri"/>
                <w:i w:val="0"/>
                <w:color w:val="000000"/>
                <w:kern w:val="0"/>
                <w:sz w:val="22"/>
                <w:szCs w:val="22"/>
                <w:u w:val="none"/>
                <w:bdr w:val="none" w:color="auto" w:sz="0" w:space="0"/>
                <w:lang w:val="en-US" w:eastAsia="zh-CN" w:bidi="ar"/>
              </w:rPr>
              <w:t>0.976999</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right"/>
              <w:textAlignment w:val="center"/>
              <w:rPr>
                <w:rFonts w:hint="default" w:ascii="Calibri" w:hAnsi="Calibri" w:cs="Calibri"/>
                <w:i w:val="0"/>
                <w:color w:val="000000"/>
                <w:sz w:val="22"/>
                <w:szCs w:val="22"/>
                <w:u w:val="none"/>
              </w:rPr>
            </w:pPr>
            <w:r>
              <w:rPr>
                <w:rFonts w:hint="default" w:ascii="Calibri" w:hAnsi="Calibri" w:eastAsia="宋体" w:cs="Calibri"/>
                <w:i w:val="0"/>
                <w:color w:val="000000"/>
                <w:kern w:val="0"/>
                <w:sz w:val="22"/>
                <w:szCs w:val="22"/>
                <w:u w:val="none"/>
                <w:bdr w:val="none" w:color="auto" w:sz="0" w:space="0"/>
                <w:lang w:val="en-US" w:eastAsia="zh-CN" w:bidi="ar"/>
              </w:rPr>
              <w:t>0.936269</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right"/>
              <w:textAlignment w:val="center"/>
              <w:rPr>
                <w:rFonts w:hint="default" w:ascii="Calibri" w:hAnsi="Calibri" w:cs="Calibri"/>
                <w:i w:val="0"/>
                <w:color w:val="000000"/>
                <w:sz w:val="22"/>
                <w:szCs w:val="22"/>
                <w:u w:val="none"/>
              </w:rPr>
            </w:pPr>
            <w:r>
              <w:rPr>
                <w:rFonts w:hint="default" w:ascii="Calibri" w:hAnsi="Calibri" w:eastAsia="宋体" w:cs="Calibri"/>
                <w:i w:val="0"/>
                <w:color w:val="000000"/>
                <w:kern w:val="0"/>
                <w:sz w:val="22"/>
                <w:szCs w:val="22"/>
                <w:u w:val="none"/>
                <w:bdr w:val="none" w:color="auto" w:sz="0" w:space="0"/>
                <w:lang w:val="en-US" w:eastAsia="zh-CN" w:bidi="ar"/>
              </w:rPr>
              <w:t>0.928357</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right"/>
              <w:textAlignment w:val="center"/>
              <w:rPr>
                <w:rFonts w:hint="default" w:ascii="Calibri" w:hAnsi="Calibri" w:cs="Calibri"/>
                <w:i w:val="0"/>
                <w:color w:val="000000"/>
                <w:sz w:val="22"/>
                <w:szCs w:val="22"/>
                <w:u w:val="none"/>
              </w:rPr>
            </w:pPr>
            <w:r>
              <w:rPr>
                <w:rFonts w:hint="default" w:ascii="Calibri" w:hAnsi="Calibri" w:eastAsia="宋体" w:cs="Calibri"/>
                <w:i w:val="0"/>
                <w:color w:val="000000"/>
                <w:kern w:val="0"/>
                <w:sz w:val="22"/>
                <w:szCs w:val="22"/>
                <w:u w:val="none"/>
                <w:bdr w:val="none" w:color="auto" w:sz="0" w:space="0"/>
                <w:lang w:val="en-US" w:eastAsia="zh-CN" w:bidi="ar"/>
              </w:rPr>
              <w:t>0.9503645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right"/>
              <w:textAlignment w:val="center"/>
              <w:rPr>
                <w:rFonts w:hint="default" w:ascii="Calibri" w:hAnsi="Calibri" w:cs="Calibri"/>
                <w:i w:val="0"/>
                <w:color w:val="000000"/>
                <w:sz w:val="22"/>
                <w:szCs w:val="22"/>
                <w:u w:val="none"/>
              </w:rPr>
            </w:pPr>
            <w:r>
              <w:rPr>
                <w:rFonts w:hint="default" w:ascii="Calibri" w:hAnsi="Calibri" w:eastAsia="宋体" w:cs="Calibri"/>
                <w:i w:val="0"/>
                <w:color w:val="000000"/>
                <w:kern w:val="0"/>
                <w:sz w:val="22"/>
                <w:szCs w:val="22"/>
                <w:u w:val="none"/>
                <w:bdr w:val="none" w:color="auto" w:sz="0" w:space="0"/>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right"/>
              <w:textAlignment w:val="center"/>
              <w:rPr>
                <w:rFonts w:hint="default" w:ascii="Calibri" w:hAnsi="Calibri" w:cs="Calibri"/>
                <w:i w:val="0"/>
                <w:color w:val="000000"/>
                <w:sz w:val="22"/>
                <w:szCs w:val="22"/>
                <w:u w:val="none"/>
              </w:rPr>
            </w:pPr>
            <w:r>
              <w:rPr>
                <w:rFonts w:hint="default" w:ascii="Calibri" w:hAnsi="Calibri" w:eastAsia="宋体" w:cs="Calibri"/>
                <w:i w:val="0"/>
                <w:color w:val="000000"/>
                <w:kern w:val="0"/>
                <w:sz w:val="22"/>
                <w:szCs w:val="22"/>
                <w:u w:val="none"/>
                <w:bdr w:val="none" w:color="auto" w:sz="0" w:space="0"/>
                <w:lang w:val="en-US" w:eastAsia="zh-CN" w:bidi="ar"/>
              </w:rPr>
              <w:t>12</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right"/>
              <w:textAlignment w:val="center"/>
              <w:rPr>
                <w:rFonts w:hint="default" w:ascii="Calibri" w:hAnsi="Calibri" w:cs="Calibri"/>
                <w:i w:val="0"/>
                <w:color w:val="000000"/>
                <w:sz w:val="22"/>
                <w:szCs w:val="22"/>
                <w:u w:val="none"/>
              </w:rPr>
            </w:pPr>
            <w:r>
              <w:rPr>
                <w:rFonts w:hint="default" w:ascii="Calibri" w:hAnsi="Calibri" w:eastAsia="宋体" w:cs="Calibri"/>
                <w:i w:val="0"/>
                <w:color w:val="000000"/>
                <w:kern w:val="0"/>
                <w:sz w:val="22"/>
                <w:szCs w:val="22"/>
                <w:u w:val="none"/>
                <w:bdr w:val="none" w:color="auto" w:sz="0" w:space="0"/>
                <w:lang w:val="en-US" w:eastAsia="zh-CN" w:bidi="ar"/>
              </w:rPr>
              <w:t>0.950919</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right"/>
              <w:textAlignment w:val="center"/>
              <w:rPr>
                <w:rFonts w:hint="default" w:ascii="Calibri" w:hAnsi="Calibri" w:cs="Calibri"/>
                <w:i w:val="0"/>
                <w:color w:val="000000"/>
                <w:sz w:val="22"/>
                <w:szCs w:val="22"/>
                <w:u w:val="none"/>
              </w:rPr>
            </w:pPr>
            <w:r>
              <w:rPr>
                <w:rFonts w:hint="default" w:ascii="Calibri" w:hAnsi="Calibri" w:eastAsia="宋体" w:cs="Calibri"/>
                <w:i w:val="0"/>
                <w:color w:val="000000"/>
                <w:kern w:val="0"/>
                <w:sz w:val="22"/>
                <w:szCs w:val="22"/>
                <w:u w:val="none"/>
                <w:bdr w:val="none" w:color="auto" w:sz="0" w:space="0"/>
                <w:lang w:val="en-US" w:eastAsia="zh-CN" w:bidi="ar"/>
              </w:rPr>
              <w:t>0.97178</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right"/>
              <w:textAlignment w:val="center"/>
              <w:rPr>
                <w:rFonts w:hint="default" w:ascii="Calibri" w:hAnsi="Calibri" w:cs="Calibri"/>
                <w:i w:val="0"/>
                <w:color w:val="000000"/>
                <w:sz w:val="22"/>
                <w:szCs w:val="22"/>
                <w:u w:val="none"/>
              </w:rPr>
            </w:pPr>
            <w:r>
              <w:rPr>
                <w:rFonts w:hint="default" w:ascii="Calibri" w:hAnsi="Calibri" w:eastAsia="宋体" w:cs="Calibri"/>
                <w:i w:val="0"/>
                <w:color w:val="000000"/>
                <w:kern w:val="0"/>
                <w:sz w:val="22"/>
                <w:szCs w:val="22"/>
                <w:u w:val="none"/>
                <w:bdr w:val="none" w:color="auto" w:sz="0" w:space="0"/>
                <w:lang w:val="en-US" w:eastAsia="zh-CN" w:bidi="ar"/>
              </w:rPr>
              <w:t>0.922958</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right"/>
              <w:textAlignment w:val="center"/>
              <w:rPr>
                <w:rFonts w:hint="default" w:ascii="Calibri" w:hAnsi="Calibri" w:cs="Calibri"/>
                <w:i w:val="0"/>
                <w:color w:val="000000"/>
                <w:sz w:val="22"/>
                <w:szCs w:val="22"/>
                <w:u w:val="none"/>
              </w:rPr>
            </w:pPr>
            <w:r>
              <w:rPr>
                <w:rFonts w:hint="default" w:ascii="Calibri" w:hAnsi="Calibri" w:eastAsia="宋体" w:cs="Calibri"/>
                <w:i w:val="0"/>
                <w:color w:val="000000"/>
                <w:kern w:val="0"/>
                <w:sz w:val="22"/>
                <w:szCs w:val="22"/>
                <w:u w:val="none"/>
                <w:bdr w:val="none" w:color="auto" w:sz="0" w:space="0"/>
                <w:lang w:val="en-US" w:eastAsia="zh-CN" w:bidi="ar"/>
              </w:rPr>
              <w:t>0.90998</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right"/>
              <w:textAlignment w:val="center"/>
              <w:rPr>
                <w:rFonts w:hint="default" w:ascii="Calibri" w:hAnsi="Calibri" w:cs="Calibri"/>
                <w:i w:val="0"/>
                <w:color w:val="000000"/>
                <w:sz w:val="22"/>
                <w:szCs w:val="22"/>
                <w:u w:val="none"/>
              </w:rPr>
            </w:pPr>
            <w:r>
              <w:rPr>
                <w:rFonts w:hint="default" w:ascii="Calibri" w:hAnsi="Calibri" w:eastAsia="宋体" w:cs="Calibri"/>
                <w:i w:val="0"/>
                <w:color w:val="000000"/>
                <w:kern w:val="0"/>
                <w:sz w:val="22"/>
                <w:szCs w:val="22"/>
                <w:u w:val="none"/>
                <w:bdr w:val="none" w:color="auto" w:sz="0" w:space="0"/>
                <w:lang w:val="en-US" w:eastAsia="zh-CN" w:bidi="ar"/>
              </w:rPr>
              <w:t>0.93890925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right"/>
              <w:textAlignment w:val="center"/>
              <w:rPr>
                <w:rFonts w:hint="default" w:ascii="Calibri" w:hAnsi="Calibri" w:cs="Calibri"/>
                <w:i w:val="0"/>
                <w:color w:val="000000"/>
                <w:sz w:val="22"/>
                <w:szCs w:val="22"/>
                <w:u w:val="none"/>
              </w:rPr>
            </w:pPr>
            <w:r>
              <w:rPr>
                <w:rFonts w:hint="default" w:ascii="Calibri" w:hAnsi="Calibri" w:eastAsia="宋体" w:cs="Calibri"/>
                <w:i w:val="0"/>
                <w:color w:val="000000"/>
                <w:kern w:val="0"/>
                <w:sz w:val="22"/>
                <w:szCs w:val="22"/>
                <w:u w:val="none"/>
                <w:bdr w:val="none" w:color="auto" w:sz="0" w:space="0"/>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right"/>
              <w:textAlignment w:val="center"/>
              <w:rPr>
                <w:rFonts w:hint="default" w:ascii="Calibri" w:hAnsi="Calibri" w:cs="Calibri"/>
                <w:i w:val="0"/>
                <w:color w:val="000000"/>
                <w:sz w:val="22"/>
                <w:szCs w:val="22"/>
                <w:u w:val="none"/>
              </w:rPr>
            </w:pPr>
            <w:r>
              <w:rPr>
                <w:rFonts w:hint="default" w:ascii="Calibri" w:hAnsi="Calibri" w:eastAsia="宋体" w:cs="Calibri"/>
                <w:i w:val="0"/>
                <w:color w:val="000000"/>
                <w:kern w:val="0"/>
                <w:sz w:val="22"/>
                <w:szCs w:val="22"/>
                <w:u w:val="none"/>
                <w:bdr w:val="none" w:color="auto" w:sz="0" w:space="0"/>
                <w:lang w:val="en-US" w:eastAsia="zh-CN" w:bidi="ar"/>
              </w:rPr>
              <w:t>13</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right"/>
              <w:textAlignment w:val="center"/>
              <w:rPr>
                <w:rFonts w:hint="default" w:ascii="Calibri" w:hAnsi="Calibri" w:cs="Calibri"/>
                <w:i w:val="0"/>
                <w:color w:val="000000"/>
                <w:sz w:val="22"/>
                <w:szCs w:val="22"/>
                <w:u w:val="none"/>
              </w:rPr>
            </w:pPr>
            <w:r>
              <w:rPr>
                <w:rFonts w:hint="default" w:ascii="Calibri" w:hAnsi="Calibri" w:eastAsia="宋体" w:cs="Calibri"/>
                <w:i w:val="0"/>
                <w:color w:val="000000"/>
                <w:kern w:val="0"/>
                <w:sz w:val="22"/>
                <w:szCs w:val="22"/>
                <w:u w:val="none"/>
                <w:bdr w:val="none" w:color="auto" w:sz="0" w:space="0"/>
                <w:lang w:val="en-US" w:eastAsia="zh-CN" w:bidi="ar"/>
              </w:rPr>
              <w:t>0.949532</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right"/>
              <w:textAlignment w:val="center"/>
              <w:rPr>
                <w:rFonts w:hint="default" w:ascii="Calibri" w:hAnsi="Calibri" w:cs="Calibri"/>
                <w:i w:val="0"/>
                <w:color w:val="000000"/>
                <w:sz w:val="22"/>
                <w:szCs w:val="22"/>
                <w:u w:val="none"/>
              </w:rPr>
            </w:pPr>
            <w:r>
              <w:rPr>
                <w:rFonts w:hint="default" w:ascii="Calibri" w:hAnsi="Calibri" w:eastAsia="宋体" w:cs="Calibri"/>
                <w:i w:val="0"/>
                <w:color w:val="000000"/>
                <w:kern w:val="0"/>
                <w:sz w:val="22"/>
                <w:szCs w:val="22"/>
                <w:u w:val="none"/>
                <w:bdr w:val="none" w:color="auto" w:sz="0" w:space="0"/>
                <w:lang w:val="en-US" w:eastAsia="zh-CN" w:bidi="ar"/>
              </w:rPr>
              <w:t>0.97178</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right"/>
              <w:textAlignment w:val="center"/>
              <w:rPr>
                <w:rFonts w:hint="default" w:ascii="Calibri" w:hAnsi="Calibri" w:cs="Calibri"/>
                <w:i w:val="0"/>
                <w:color w:val="000000"/>
                <w:sz w:val="22"/>
                <w:szCs w:val="22"/>
                <w:u w:val="none"/>
              </w:rPr>
            </w:pPr>
            <w:r>
              <w:rPr>
                <w:rFonts w:hint="default" w:ascii="Calibri" w:hAnsi="Calibri" w:eastAsia="宋体" w:cs="Calibri"/>
                <w:i w:val="0"/>
                <w:color w:val="000000"/>
                <w:kern w:val="0"/>
                <w:sz w:val="22"/>
                <w:szCs w:val="22"/>
                <w:u w:val="none"/>
                <w:bdr w:val="none" w:color="auto" w:sz="0" w:space="0"/>
                <w:lang w:val="en-US" w:eastAsia="zh-CN" w:bidi="ar"/>
              </w:rPr>
              <w:t>0.925995</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right"/>
              <w:textAlignment w:val="center"/>
              <w:rPr>
                <w:rFonts w:hint="default" w:ascii="Calibri" w:hAnsi="Calibri" w:cs="Calibri"/>
                <w:i w:val="0"/>
                <w:color w:val="000000"/>
                <w:sz w:val="22"/>
                <w:szCs w:val="22"/>
                <w:u w:val="none"/>
              </w:rPr>
            </w:pPr>
            <w:r>
              <w:rPr>
                <w:rFonts w:hint="default" w:ascii="Calibri" w:hAnsi="Calibri" w:eastAsia="宋体" w:cs="Calibri"/>
                <w:i w:val="0"/>
                <w:color w:val="000000"/>
                <w:kern w:val="0"/>
                <w:sz w:val="22"/>
                <w:szCs w:val="22"/>
                <w:u w:val="none"/>
                <w:bdr w:val="none" w:color="auto" w:sz="0" w:space="0"/>
                <w:lang w:val="en-US" w:eastAsia="zh-CN" w:bidi="ar"/>
              </w:rPr>
              <w:t>0.90799</w:t>
            </w:r>
          </w:p>
        </w:tc>
        <w:tc>
          <w:tcPr>
            <w:tcW w:w="0" w:type="auto"/>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right"/>
              <w:textAlignment w:val="center"/>
              <w:rPr>
                <w:rFonts w:hint="default" w:ascii="Calibri" w:hAnsi="Calibri" w:cs="Calibri"/>
                <w:i w:val="0"/>
                <w:color w:val="000000"/>
                <w:sz w:val="22"/>
                <w:szCs w:val="22"/>
                <w:u w:val="none"/>
              </w:rPr>
            </w:pPr>
            <w:r>
              <w:rPr>
                <w:rFonts w:hint="default" w:ascii="Calibri" w:hAnsi="Calibri" w:eastAsia="宋体" w:cs="Calibri"/>
                <w:i w:val="0"/>
                <w:color w:val="000000"/>
                <w:kern w:val="0"/>
                <w:sz w:val="22"/>
                <w:szCs w:val="22"/>
                <w:u w:val="none"/>
                <w:bdr w:val="none" w:color="auto" w:sz="0" w:space="0"/>
                <w:lang w:val="en-US" w:eastAsia="zh-CN" w:bidi="ar"/>
              </w:rPr>
              <w:t>0.93882425</w:t>
            </w:r>
          </w:p>
        </w:tc>
      </w:tr>
    </w:tbl>
    <w:p>
      <w:pPr>
        <w:rPr>
          <w:rFonts w:hint="default" w:ascii="Calibri" w:hAnsi="Calibri" w:eastAsia="宋体" w:cs="Calibri"/>
          <w:b w:val="0"/>
          <w:bCs w:val="0"/>
          <w:i w:val="0"/>
          <w:color w:val="000000"/>
          <w:kern w:val="0"/>
          <w:sz w:val="20"/>
          <w:szCs w:val="20"/>
          <w:u w:val="none"/>
          <w:lang w:val="en" w:eastAsia="zh-CN" w:bidi="ar"/>
        </w:rPr>
      </w:pPr>
    </w:p>
    <w:p>
      <w:pPr>
        <w:rPr>
          <w:rFonts w:hint="default" w:ascii="Calibri" w:hAnsi="Calibri" w:eastAsia="宋体" w:cs="Calibri"/>
          <w:b w:val="0"/>
          <w:bCs w:val="0"/>
          <w:i w:val="0"/>
          <w:color w:val="000000"/>
          <w:kern w:val="0"/>
          <w:sz w:val="20"/>
          <w:szCs w:val="20"/>
          <w:u w:val="none"/>
          <w:lang w:val="en" w:eastAsia="zh-CN" w:bidi="ar"/>
        </w:rPr>
      </w:pPr>
    </w:p>
    <w:p>
      <w:pPr>
        <w:rPr>
          <w:rFonts w:hint="default" w:ascii="Calibri" w:hAnsi="Calibri" w:eastAsia="宋体" w:cs="Calibri"/>
          <w:b/>
          <w:bCs/>
          <w:i w:val="0"/>
          <w:color w:val="000000"/>
          <w:kern w:val="0"/>
          <w:sz w:val="20"/>
          <w:szCs w:val="20"/>
          <w:u w:val="single"/>
          <w:lang w:val="en" w:eastAsia="zh-CN" w:bidi="ar"/>
        </w:rPr>
      </w:pPr>
      <w:r>
        <w:rPr>
          <w:rFonts w:hint="default" w:ascii="Calibri" w:hAnsi="Calibri" w:eastAsia="宋体" w:cs="Calibri"/>
          <w:b/>
          <w:bCs/>
          <w:i w:val="0"/>
          <w:color w:val="000000"/>
          <w:kern w:val="0"/>
          <w:sz w:val="20"/>
          <w:szCs w:val="20"/>
          <w:u w:val="single"/>
          <w:lang w:val="en" w:eastAsia="zh-CN" w:bidi="ar"/>
        </w:rPr>
        <w:t>Conclusion</w:t>
      </w:r>
    </w:p>
    <w:p>
      <w:pPr>
        <w:rPr>
          <w:rFonts w:hint="default" w:ascii="Calibri" w:hAnsi="Calibri" w:eastAsia="宋体" w:cs="Calibri"/>
          <w:b w:val="0"/>
          <w:bCs w:val="0"/>
          <w:i w:val="0"/>
          <w:color w:val="000000"/>
          <w:kern w:val="0"/>
          <w:sz w:val="20"/>
          <w:szCs w:val="20"/>
          <w:u w:val="none"/>
          <w:lang w:val="en" w:eastAsia="zh-CN" w:bidi="ar"/>
        </w:rPr>
      </w:pPr>
      <w:r>
        <w:rPr>
          <w:rFonts w:hint="default" w:ascii="Calibri" w:hAnsi="Calibri" w:eastAsia="宋体" w:cs="Calibri"/>
          <w:b w:val="0"/>
          <w:bCs w:val="0"/>
          <w:i w:val="0"/>
          <w:color w:val="000000"/>
          <w:kern w:val="0"/>
          <w:sz w:val="20"/>
          <w:szCs w:val="20"/>
          <w:u w:val="none"/>
          <w:lang w:val="en" w:eastAsia="zh-CN" w:bidi="ar"/>
        </w:rPr>
        <w:t>Overall, with an average accuracy of 0.95806, the perceptron predictor with G=20 and P=9 is the best branch predictor with regards to the given traces.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doNotDisplayPageBoundaries w:val="true"/>
  <w:embedSystemFonts/>
  <w:bordersDoNotSurroundHeader w:val="false"/>
  <w:bordersDoNotSurroundFooter w:val="false"/>
  <w:documentProtection w:enforcement="0"/>
  <w:defaultTabStop w:val="420"/>
  <w:drawingGridVerticalSpacing w:val="156"/>
  <w:displayHorizontalDrawingGridEvery w:val="1"/>
  <w:displayVerticalDrawingGridEvery w:val="1"/>
  <w:noPunctuationKerning w:val="true"/>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373DE2"/>
    <w:rsid w:val="0D791A9F"/>
    <w:rsid w:val="1FDFB86C"/>
    <w:rsid w:val="35F69876"/>
    <w:rsid w:val="36DF8BC4"/>
    <w:rsid w:val="3F3E4FEB"/>
    <w:rsid w:val="59FD42EC"/>
    <w:rsid w:val="5F5FF0A9"/>
    <w:rsid w:val="6A373DE2"/>
    <w:rsid w:val="6DEF1B0E"/>
    <w:rsid w:val="6F7EA6AE"/>
    <w:rsid w:val="78F07C5B"/>
    <w:rsid w:val="7DFB1ED0"/>
    <w:rsid w:val="7DFD0DC1"/>
    <w:rsid w:val="7FFF1F4B"/>
    <w:rsid w:val="9B67DBB6"/>
    <w:rsid w:val="9BED7E21"/>
    <w:rsid w:val="A6E531BA"/>
    <w:rsid w:val="ABFD16A1"/>
    <w:rsid w:val="AFFB0E55"/>
    <w:rsid w:val="BD9F0D5F"/>
    <w:rsid w:val="BFFF92B4"/>
    <w:rsid w:val="C1F56F29"/>
    <w:rsid w:val="DA3F525E"/>
    <w:rsid w:val="DF3162A4"/>
    <w:rsid w:val="DFCE35AE"/>
    <w:rsid w:val="EBA75D62"/>
    <w:rsid w:val="EBFDFBE7"/>
    <w:rsid w:val="ECBD49A8"/>
    <w:rsid w:val="F7EF583E"/>
    <w:rsid w:val="FF3F2406"/>
    <w:rsid w:val="FF9F5BE4"/>
    <w:rsid w:val="FFE64DA2"/>
    <w:rsid w:val="FFFF30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chart" Target="charts/chart4.xml"/><Relationship Id="rId6" Type="http://schemas.openxmlformats.org/officeDocument/2006/relationships/chart" Target="charts/chart3.xml"/><Relationship Id="rId5" Type="http://schemas.openxmlformats.org/officeDocument/2006/relationships/chart" Target="charts/chart2.xml"/><Relationship Id="rId4" Type="http://schemas.openxmlformats.org/officeDocument/2006/relationships/chart" Target="charts/chart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home/cx872/Documents/ECE_4100/2project/analysis.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home/cx872/Documents/ECE_4100/2project/analysis.xlsx"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home/cx872/Documents/ECE_4100/2project/analysis.xlsx" TargetMode="External"/></Relationships>
</file>

<file path=word/charts/_rels/chart4.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home/cx872/Documents/ECE_4100/2project/analysi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false"/>
  <c:lang val="zh-CN"/>
  <c:roundedCorners val="false"/>
  <mc:AlternateContent xmlns:mc="http://schemas.openxmlformats.org/markup-compatibility/2006">
    <mc:Choice xmlns:c14="http://schemas.microsoft.com/office/drawing/2007/8/2/chart" Requires="c14">
      <c14:style val="102"/>
    </mc:Choice>
    <mc:Fallback>
      <c:style val="2"/>
    </mc:Fallback>
  </mc:AlternateContent>
  <c:chart>
    <c:autoTitleDeleted val="true"/>
    <c:plotArea>
      <c:layout/>
      <c:lineChart>
        <c:grouping val="standard"/>
        <c:varyColors val="false"/>
        <c:ser>
          <c:idx val="0"/>
          <c:order val="0"/>
          <c:tx>
            <c:strRef>
              <c:f>"gcc"</c:f>
              <c:strCache>
                <c:ptCount val="1"/>
                <c:pt idx="0">
                  <c:v>gcc</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delete val="true"/>
          </c:dLbls>
          <c:cat>
            <c:numRef>
              <c:f>[analysis.xlsx]gcc!$B$58:$B$64</c:f>
              <c:numCache>
                <c:formatCode>General</c:formatCode>
                <c:ptCount val="5"/>
                <c:pt idx="0">
                  <c:v>8</c:v>
                </c:pt>
                <c:pt idx="1">
                  <c:v>9</c:v>
                </c:pt>
                <c:pt idx="2">
                  <c:v>10</c:v>
                </c:pt>
                <c:pt idx="3">
                  <c:v>11</c:v>
                </c:pt>
                <c:pt idx="4">
                  <c:v>12</c:v>
                </c:pt>
              </c:numCache>
            </c:numRef>
          </c:cat>
          <c:val>
            <c:numRef>
              <c:f>[analysis.xlsx]gcc!$E$58:$E$64</c:f>
              <c:numCache>
                <c:formatCode>General</c:formatCode>
                <c:ptCount val="5"/>
                <c:pt idx="0">
                  <c:v>0.795251</c:v>
                </c:pt>
                <c:pt idx="1">
                  <c:v>0.842302</c:v>
                </c:pt>
                <c:pt idx="2">
                  <c:v>0.880651</c:v>
                </c:pt>
                <c:pt idx="3">
                  <c:v>0.916702</c:v>
                </c:pt>
                <c:pt idx="4">
                  <c:v>0.941419</c:v>
                </c:pt>
              </c:numCache>
            </c:numRef>
          </c:val>
          <c:smooth val="false"/>
        </c:ser>
        <c:ser>
          <c:idx val="1"/>
          <c:order val="1"/>
          <c:tx>
            <c:strRef>
              <c:f>"perlbench"</c:f>
              <c:strCache>
                <c:ptCount val="1"/>
                <c:pt idx="0">
                  <c:v>perlbench</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delete val="true"/>
          </c:dLbls>
          <c:cat>
            <c:numRef>
              <c:f>[analysis.xlsx]gcc!$B$58:$B$64</c:f>
              <c:numCache>
                <c:formatCode>General</c:formatCode>
                <c:ptCount val="5"/>
                <c:pt idx="0">
                  <c:v>8</c:v>
                </c:pt>
                <c:pt idx="1">
                  <c:v>9</c:v>
                </c:pt>
                <c:pt idx="2">
                  <c:v>10</c:v>
                </c:pt>
                <c:pt idx="3">
                  <c:v>11</c:v>
                </c:pt>
                <c:pt idx="4">
                  <c:v>12</c:v>
                </c:pt>
              </c:numCache>
            </c:numRef>
          </c:cat>
          <c:val>
            <c:numRef>
              <c:f>[analysis.xlsx]gcc!$J$58:$J$64</c:f>
              <c:numCache>
                <c:formatCode>General</c:formatCode>
                <c:ptCount val="5"/>
                <c:pt idx="0">
                  <c:v>0.763786</c:v>
                </c:pt>
                <c:pt idx="1">
                  <c:v>0.808363</c:v>
                </c:pt>
                <c:pt idx="2">
                  <c:v>0.846198</c:v>
                </c:pt>
                <c:pt idx="3">
                  <c:v>0.846198</c:v>
                </c:pt>
                <c:pt idx="4">
                  <c:v>0.908492</c:v>
                </c:pt>
              </c:numCache>
            </c:numRef>
          </c:val>
          <c:smooth val="false"/>
        </c:ser>
        <c:dLbls>
          <c:showLegendKey val="false"/>
          <c:showVal val="false"/>
          <c:showCatName val="false"/>
          <c:showSerName val="false"/>
          <c:showPercent val="false"/>
          <c:showBubbleSize val="false"/>
        </c:dLbls>
        <c:marker val="true"/>
        <c:smooth val="false"/>
        <c:axId val="301000828"/>
        <c:axId val="328913671"/>
      </c:lineChart>
      <c:catAx>
        <c:axId val="301000828"/>
        <c:scaling>
          <c:orientation val="minMax"/>
        </c:scaling>
        <c:delete val="false"/>
        <c:axPos val="b"/>
        <c:title>
          <c:tx>
            <c:rich>
              <a:bodyPr rot="0" spcFirstLastPara="0" vertOverflow="ellipsis" vert="horz" wrap="square" anchor="ctr" anchorCtr="true"/>
              <a:lstStyle/>
              <a:p>
                <a:pPr defTabSz="914400">
                  <a:defRPr lang="en-US" sz="1000" b="0" i="0" u="none" strike="noStrike" kern="1200" baseline="0">
                    <a:solidFill>
                      <a:schemeClr val="tx1">
                        <a:lumMod val="65000"/>
                        <a:lumOff val="35000"/>
                      </a:schemeClr>
                    </a:solidFill>
                    <a:latin typeface="+mn-lt"/>
                    <a:ea typeface="+mn-ea"/>
                    <a:cs typeface="+mn-cs"/>
                  </a:defRPr>
                </a:pPr>
                <a:r>
                  <a:rPr lang="" altLang="en-US"/>
                  <a:t>Fix P=12 and increasing G from 8 to 12</a:t>
                </a:r>
                <a:endParaRPr lang="" altLang="en-US"/>
              </a:p>
            </c:rich>
          </c:tx>
          <c:layout>
            <c:manualLayout>
              <c:xMode val="edge"/>
              <c:yMode val="edge"/>
              <c:x val="0.204795852235904"/>
              <c:y val="0.769868496283591"/>
            </c:manualLayout>
          </c:layout>
          <c:overlay val="false"/>
          <c:spPr>
            <a:noFill/>
            <a:ln>
              <a:noFill/>
            </a:ln>
            <a:effectLst/>
          </c:sp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true"/>
          <a:lstStyle/>
          <a:p>
            <a:pPr>
              <a:defRPr lang="en-US" sz="900" b="0" i="0" u="none" strike="noStrike" kern="1200" baseline="0">
                <a:solidFill>
                  <a:schemeClr val="tx1">
                    <a:lumMod val="65000"/>
                    <a:lumOff val="35000"/>
                  </a:schemeClr>
                </a:solidFill>
                <a:latin typeface="+mn-lt"/>
                <a:ea typeface="+mn-ea"/>
                <a:cs typeface="+mn-cs"/>
              </a:defRPr>
            </a:pPr>
          </a:p>
        </c:txPr>
        <c:crossAx val="328913671"/>
        <c:crosses val="autoZero"/>
        <c:auto val="true"/>
        <c:lblAlgn val="ctr"/>
        <c:lblOffset val="100"/>
        <c:noMultiLvlLbl val="false"/>
      </c:catAx>
      <c:valAx>
        <c:axId val="328913671"/>
        <c:scaling>
          <c:orientation val="minMax"/>
          <c:min val="0.7"/>
        </c:scaling>
        <c:delete val="false"/>
        <c:axPos val="l"/>
        <c:majorGridlines>
          <c:spPr>
            <a:ln w="9525" cap="flat" cmpd="sng" algn="ctr">
              <a:solidFill>
                <a:schemeClr val="tx1">
                  <a:lumMod val="15000"/>
                  <a:lumOff val="85000"/>
                </a:schemeClr>
              </a:solidFill>
              <a:round/>
            </a:ln>
            <a:effectLst/>
          </c:spPr>
        </c:majorGridlines>
        <c:title>
          <c:tx>
            <c:rich>
              <a:bodyPr rot="-5400000" spcFirstLastPara="0" vertOverflow="ellipsis" vert="horz" wrap="square" anchor="ctr" anchorCtr="true"/>
              <a:lstStyle/>
              <a:p>
                <a:pPr defTabSz="914400">
                  <a:defRPr lang="en-US" sz="1000" b="0" i="0" u="none" strike="noStrike" kern="1200" baseline="0">
                    <a:solidFill>
                      <a:schemeClr val="tx1">
                        <a:lumMod val="65000"/>
                        <a:lumOff val="35000"/>
                      </a:schemeClr>
                    </a:solidFill>
                    <a:latin typeface="+mn-lt"/>
                    <a:ea typeface="+mn-ea"/>
                    <a:cs typeface="+mn-cs"/>
                  </a:defRPr>
                </a:pPr>
                <a:r>
                  <a:rPr lang="" altLang="en-US"/>
                  <a:t>Accuracy</a:t>
                </a:r>
                <a:endParaRPr lang="" altLang="en-US"/>
              </a:p>
            </c:rich>
          </c:tx>
          <c:layout/>
          <c:overlay val="false"/>
          <c:spPr>
            <a:noFill/>
            <a:ln>
              <a:noFill/>
            </a:ln>
            <a:effectLst/>
          </c:spPr>
        </c:title>
        <c:numFmt formatCode="#,##0.00_);[Red]\(#,##0.00\)" sourceLinked="false"/>
        <c:majorTickMark val="none"/>
        <c:minorTickMark val="none"/>
        <c:tickLblPos val="nextTo"/>
        <c:spPr>
          <a:noFill/>
          <a:ln>
            <a:noFill/>
          </a:ln>
          <a:effectLst/>
        </c:spPr>
        <c:txPr>
          <a:bodyPr rot="-60000000" spcFirstLastPara="0" vertOverflow="ellipsis" vert="horz" wrap="square" anchor="ctr" anchorCtr="true"/>
          <a:lstStyle/>
          <a:p>
            <a:pPr>
              <a:defRPr lang="en-US" sz="900" b="0" i="0" u="none" strike="noStrike" kern="1200" baseline="0">
                <a:solidFill>
                  <a:schemeClr val="tx1">
                    <a:lumMod val="65000"/>
                    <a:lumOff val="35000"/>
                  </a:schemeClr>
                </a:solidFill>
                <a:latin typeface="+mn-lt"/>
                <a:ea typeface="+mn-ea"/>
                <a:cs typeface="+mn-cs"/>
              </a:defRPr>
            </a:pPr>
          </a:p>
        </c:txPr>
        <c:crossAx val="301000828"/>
        <c:crosses val="autoZero"/>
        <c:crossBetween val="between"/>
      </c:valAx>
      <c:spPr>
        <a:noFill/>
        <a:ln>
          <a:noFill/>
        </a:ln>
        <a:effectLst/>
      </c:spPr>
    </c:plotArea>
    <c:legend>
      <c:legendPos val="b"/>
      <c:layout/>
      <c:overlay val="false"/>
      <c:spPr>
        <a:noFill/>
        <a:ln>
          <a:noFill/>
        </a:ln>
        <a:effectLst/>
      </c:spPr>
      <c:txPr>
        <a:bodyPr rot="0" spcFirstLastPara="0" vertOverflow="ellipsis" vert="horz" wrap="square" anchor="ctr" anchorCtr="true"/>
        <a:lstStyle/>
        <a:p>
          <a:pPr>
            <a:defRPr lang="en-US" sz="900" b="0" i="0" u="none" strike="noStrike" kern="1200" baseline="0">
              <a:solidFill>
                <a:schemeClr val="tx1">
                  <a:lumMod val="65000"/>
                  <a:lumOff val="35000"/>
                </a:schemeClr>
              </a:solidFill>
              <a:latin typeface="+mn-lt"/>
              <a:ea typeface="+mn-ea"/>
              <a:cs typeface="+mn-cs"/>
            </a:defRPr>
          </a:pPr>
        </a:p>
      </c:txPr>
    </c:legend>
    <c:plotVisOnly val="true"/>
    <c:dispBlanksAs val="gap"/>
    <c:showDLblsOverMax val="false"/>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false"/>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false"/>
  <c:lang val="zh-CN"/>
  <c:roundedCorners val="false"/>
  <mc:AlternateContent xmlns:mc="http://schemas.openxmlformats.org/markup-compatibility/2006">
    <mc:Choice xmlns:c14="http://schemas.microsoft.com/office/drawing/2007/8/2/chart" Requires="c14">
      <c14:style val="102"/>
    </mc:Choice>
    <mc:Fallback>
      <c:style val="2"/>
    </mc:Fallback>
  </mc:AlternateContent>
  <c:chart>
    <c:autoTitleDeleted val="true"/>
    <c:plotArea>
      <c:layout/>
      <c:lineChart>
        <c:grouping val="standard"/>
        <c:varyColors val="false"/>
        <c:ser>
          <c:idx val="0"/>
          <c:order val="0"/>
          <c:tx>
            <c:strRef>
              <c:f>"gcc"</c:f>
              <c:strCache>
                <c:ptCount val="1"/>
                <c:pt idx="0">
                  <c:v>gcc</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delete val="true"/>
          </c:dLbls>
          <c:cat>
            <c:numRef>
              <c:f>[analysis.xlsx]gcc!$C$37:$C$47</c:f>
              <c:numCache>
                <c:formatCode>General</c:formatCode>
                <c:ptCount val="11"/>
                <c:pt idx="0">
                  <c:v>1</c:v>
                </c:pt>
                <c:pt idx="1">
                  <c:v>2</c:v>
                </c:pt>
                <c:pt idx="2">
                  <c:v>3</c:v>
                </c:pt>
                <c:pt idx="3">
                  <c:v>4</c:v>
                </c:pt>
                <c:pt idx="4">
                  <c:v>5</c:v>
                </c:pt>
                <c:pt idx="5">
                  <c:v>7</c:v>
                </c:pt>
                <c:pt idx="6">
                  <c:v>8</c:v>
                </c:pt>
                <c:pt idx="7">
                  <c:v>9</c:v>
                </c:pt>
                <c:pt idx="8">
                  <c:v>10</c:v>
                </c:pt>
                <c:pt idx="9">
                  <c:v>11</c:v>
                </c:pt>
                <c:pt idx="10">
                  <c:v>12</c:v>
                </c:pt>
              </c:numCache>
            </c:numRef>
          </c:cat>
          <c:val>
            <c:numRef>
              <c:f>[analysis.xlsx]gcc!$E$37:$E$47</c:f>
              <c:numCache>
                <c:formatCode>General</c:formatCode>
                <c:ptCount val="11"/>
                <c:pt idx="0">
                  <c:v>0.904823</c:v>
                </c:pt>
                <c:pt idx="1">
                  <c:v>0.918016</c:v>
                </c:pt>
                <c:pt idx="2">
                  <c:v>0.920884</c:v>
                </c:pt>
                <c:pt idx="3">
                  <c:v>0.926772</c:v>
                </c:pt>
                <c:pt idx="4">
                  <c:v>0.929181</c:v>
                </c:pt>
                <c:pt idx="5">
                  <c:v>0.934626</c:v>
                </c:pt>
                <c:pt idx="6">
                  <c:v>0.936211</c:v>
                </c:pt>
                <c:pt idx="7">
                  <c:v>0.93766</c:v>
                </c:pt>
                <c:pt idx="8">
                  <c:v>0.938993</c:v>
                </c:pt>
                <c:pt idx="9">
                  <c:v>0.940169</c:v>
                </c:pt>
                <c:pt idx="10">
                  <c:v>0.941419</c:v>
                </c:pt>
              </c:numCache>
            </c:numRef>
          </c:val>
          <c:smooth val="false"/>
        </c:ser>
        <c:ser>
          <c:idx val="1"/>
          <c:order val="1"/>
          <c:tx>
            <c:strRef>
              <c:f>"mcf"</c:f>
              <c:strCache>
                <c:ptCount val="1"/>
                <c:pt idx="0">
                  <c:v>mcf</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delete val="true"/>
          </c:dLbls>
          <c:cat>
            <c:numRef>
              <c:f>[analysis.xlsx]gcc!$C$37:$C$47</c:f>
              <c:numCache>
                <c:formatCode>General</c:formatCode>
                <c:ptCount val="11"/>
                <c:pt idx="0">
                  <c:v>1</c:v>
                </c:pt>
                <c:pt idx="1">
                  <c:v>2</c:v>
                </c:pt>
                <c:pt idx="2">
                  <c:v>3</c:v>
                </c:pt>
                <c:pt idx="3">
                  <c:v>4</c:v>
                </c:pt>
                <c:pt idx="4">
                  <c:v>5</c:v>
                </c:pt>
                <c:pt idx="5">
                  <c:v>7</c:v>
                </c:pt>
                <c:pt idx="6">
                  <c:v>8</c:v>
                </c:pt>
                <c:pt idx="7">
                  <c:v>9</c:v>
                </c:pt>
                <c:pt idx="8">
                  <c:v>10</c:v>
                </c:pt>
                <c:pt idx="9">
                  <c:v>11</c:v>
                </c:pt>
                <c:pt idx="10">
                  <c:v>12</c:v>
                </c:pt>
              </c:numCache>
            </c:numRef>
          </c:cat>
          <c:val>
            <c:numRef>
              <c:f>[analysis.xlsx]gcc!$G$37:$G$47</c:f>
              <c:numCache>
                <c:formatCode>General</c:formatCode>
                <c:ptCount val="11"/>
                <c:pt idx="0">
                  <c:v>0.940411</c:v>
                </c:pt>
                <c:pt idx="1">
                  <c:v>0.948035</c:v>
                </c:pt>
                <c:pt idx="2">
                  <c:v>0.969961</c:v>
                </c:pt>
                <c:pt idx="3">
                  <c:v>0.98615</c:v>
                </c:pt>
                <c:pt idx="4">
                  <c:v>0.987635</c:v>
                </c:pt>
                <c:pt idx="5">
                  <c:v>0.993557</c:v>
                </c:pt>
                <c:pt idx="6">
                  <c:v>0.99399</c:v>
                </c:pt>
                <c:pt idx="7">
                  <c:v>0.994111</c:v>
                </c:pt>
                <c:pt idx="8">
                  <c:v>0.999115</c:v>
                </c:pt>
                <c:pt idx="9">
                  <c:v>0.9991</c:v>
                </c:pt>
                <c:pt idx="10">
                  <c:v>0.999132</c:v>
                </c:pt>
              </c:numCache>
            </c:numRef>
          </c:val>
          <c:smooth val="false"/>
        </c:ser>
        <c:dLbls>
          <c:showLegendKey val="false"/>
          <c:showVal val="false"/>
          <c:showCatName val="false"/>
          <c:showSerName val="false"/>
          <c:showPercent val="false"/>
          <c:showBubbleSize val="false"/>
        </c:dLbls>
        <c:marker val="true"/>
        <c:smooth val="false"/>
        <c:axId val="746388771"/>
        <c:axId val="676050157"/>
      </c:lineChart>
      <c:catAx>
        <c:axId val="746388771"/>
        <c:scaling>
          <c:orientation val="minMax"/>
        </c:scaling>
        <c:delete val="false"/>
        <c:axPos val="b"/>
        <c:title>
          <c:tx>
            <c:rich>
              <a:bodyPr rot="0" spcFirstLastPara="0" vertOverflow="ellipsis" vert="horz" wrap="square" anchor="ctr" anchorCtr="true"/>
              <a:lstStyle/>
              <a:p>
                <a:pPr defTabSz="914400">
                  <a:defRPr lang="en-US" sz="1000" b="1" i="0" u="none" strike="noStrike" kern="1200" baseline="0">
                    <a:solidFill>
                      <a:schemeClr val="tx1">
                        <a:lumMod val="65000"/>
                        <a:lumOff val="35000"/>
                      </a:schemeClr>
                    </a:solidFill>
                    <a:latin typeface="+mn-lt"/>
                    <a:ea typeface="+mn-ea"/>
                    <a:cs typeface="+mn-cs"/>
                  </a:defRPr>
                </a:pPr>
                <a:r>
                  <a:rPr lang="" altLang="en-US" b="1"/>
                  <a:t>Fix G=12 and incresing P from 1 -12</a:t>
                </a:r>
                <a:endParaRPr lang="" altLang="en-US" b="1"/>
              </a:p>
            </c:rich>
          </c:tx>
          <c:layout>
            <c:manualLayout>
              <c:xMode val="edge"/>
              <c:yMode val="edge"/>
              <c:x val="0.200493384166854"/>
              <c:y val="0.759113853056646"/>
            </c:manualLayout>
          </c:layout>
          <c:overlay val="false"/>
          <c:spPr>
            <a:noFill/>
            <a:ln>
              <a:noFill/>
            </a:ln>
            <a:effectLst/>
          </c:sp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true"/>
          <a:lstStyle/>
          <a:p>
            <a:pPr>
              <a:defRPr lang="en-US" sz="900" b="0" i="0" u="none" strike="noStrike" kern="1200" baseline="0">
                <a:solidFill>
                  <a:schemeClr val="tx1">
                    <a:lumMod val="65000"/>
                    <a:lumOff val="35000"/>
                  </a:schemeClr>
                </a:solidFill>
                <a:latin typeface="+mn-lt"/>
                <a:ea typeface="+mn-ea"/>
                <a:cs typeface="+mn-cs"/>
              </a:defRPr>
            </a:pPr>
          </a:p>
        </c:txPr>
        <c:crossAx val="676050157"/>
        <c:crosses val="autoZero"/>
        <c:auto val="true"/>
        <c:lblAlgn val="ctr"/>
        <c:lblOffset val="100"/>
        <c:noMultiLvlLbl val="false"/>
      </c:catAx>
      <c:valAx>
        <c:axId val="676050157"/>
        <c:scaling>
          <c:orientation val="minMax"/>
        </c:scaling>
        <c:delete val="false"/>
        <c:axPos val="l"/>
        <c:majorGridlines>
          <c:spPr>
            <a:ln w="9525" cap="flat" cmpd="sng" algn="ctr">
              <a:solidFill>
                <a:schemeClr val="tx1">
                  <a:lumMod val="15000"/>
                  <a:lumOff val="85000"/>
                </a:schemeClr>
              </a:solidFill>
              <a:round/>
            </a:ln>
            <a:effectLst/>
          </c:spPr>
        </c:majorGridlines>
        <c:title>
          <c:tx>
            <c:rich>
              <a:bodyPr rot="-5400000" spcFirstLastPara="0" vertOverflow="ellipsis" vert="horz" wrap="square" anchor="ctr" anchorCtr="true"/>
              <a:lstStyle/>
              <a:p>
                <a:pPr defTabSz="914400">
                  <a:defRPr lang="en-US" sz="1000" b="0" i="0" u="none" strike="noStrike" kern="1200" baseline="0">
                    <a:solidFill>
                      <a:schemeClr val="tx1">
                        <a:lumMod val="65000"/>
                        <a:lumOff val="35000"/>
                      </a:schemeClr>
                    </a:solidFill>
                    <a:latin typeface="+mn-lt"/>
                    <a:ea typeface="+mn-ea"/>
                    <a:cs typeface="+mn-cs"/>
                  </a:defRPr>
                </a:pPr>
                <a:r>
                  <a:rPr lang="en-US" altLang="en-US"/>
                  <a:t>Accuracy</a:t>
                </a:r>
                <a:endParaRPr lang="en-US" altLang="en-US"/>
              </a:p>
            </c:rich>
          </c:tx>
          <c:layout/>
          <c:overlay val="false"/>
          <c:spPr>
            <a:noFill/>
            <a:ln>
              <a:noFill/>
            </a:ln>
            <a:effectLst/>
          </c:spPr>
        </c:title>
        <c:numFmt formatCode="General" sourceLinked="true"/>
        <c:majorTickMark val="out"/>
        <c:minorTickMark val="none"/>
        <c:tickLblPos val="nextTo"/>
        <c:spPr>
          <a:noFill/>
          <a:ln>
            <a:noFill/>
          </a:ln>
          <a:effectLst/>
        </c:spPr>
        <c:txPr>
          <a:bodyPr rot="-60000000" spcFirstLastPara="0" vertOverflow="ellipsis" vert="horz" wrap="square" anchor="ctr" anchorCtr="true"/>
          <a:lstStyle/>
          <a:p>
            <a:pPr>
              <a:defRPr lang="en-US" sz="900" b="0" i="0" u="none" strike="noStrike" kern="1200" baseline="0">
                <a:solidFill>
                  <a:schemeClr val="tx1">
                    <a:lumMod val="65000"/>
                    <a:lumOff val="35000"/>
                  </a:schemeClr>
                </a:solidFill>
                <a:latin typeface="+mn-lt"/>
                <a:ea typeface="+mn-ea"/>
                <a:cs typeface="+mn-cs"/>
              </a:defRPr>
            </a:pPr>
          </a:p>
        </c:txPr>
        <c:crossAx val="746388771"/>
        <c:crosses val="autoZero"/>
        <c:crossBetween val="between"/>
      </c:valAx>
      <c:spPr>
        <a:noFill/>
        <a:ln>
          <a:noFill/>
        </a:ln>
        <a:effectLst/>
      </c:spPr>
    </c:plotArea>
    <c:legend>
      <c:legendPos val="b"/>
      <c:layout/>
      <c:overlay val="false"/>
      <c:spPr>
        <a:noFill/>
        <a:ln>
          <a:noFill/>
        </a:ln>
        <a:effectLst/>
      </c:spPr>
      <c:txPr>
        <a:bodyPr rot="0" spcFirstLastPara="0" vertOverflow="ellipsis" vert="horz" wrap="square" anchor="ctr" anchorCtr="true"/>
        <a:lstStyle/>
        <a:p>
          <a:pPr>
            <a:defRPr lang="en-US" sz="900" b="0" i="0" u="none" strike="noStrike" kern="1200" baseline="0">
              <a:solidFill>
                <a:schemeClr val="tx1">
                  <a:lumMod val="65000"/>
                  <a:lumOff val="35000"/>
                </a:schemeClr>
              </a:solidFill>
              <a:latin typeface="+mn-lt"/>
              <a:ea typeface="+mn-ea"/>
              <a:cs typeface="+mn-cs"/>
            </a:defRPr>
          </a:pPr>
        </a:p>
      </c:txPr>
    </c:legend>
    <c:plotVisOnly val="true"/>
    <c:dispBlanksAs val="gap"/>
    <c:showDLblsOverMax val="false"/>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false"/>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false"/>
  <c:lang val="zh-CN"/>
  <c:roundedCorners val="false"/>
  <mc:AlternateContent xmlns:mc="http://schemas.openxmlformats.org/markup-compatibility/2006">
    <mc:Choice xmlns:c14="http://schemas.microsoft.com/office/drawing/2007/8/2/chart" Requires="c14">
      <c14:style val="102"/>
    </mc:Choice>
    <mc:Fallback>
      <c:style val="2"/>
    </mc:Fallback>
  </mc:AlternateContent>
  <c:chart>
    <c:autoTitleDeleted val="true"/>
    <c:plotArea>
      <c:layout/>
      <c:lineChart>
        <c:grouping val="standard"/>
        <c:varyColors val="false"/>
        <c:ser>
          <c:idx val="0"/>
          <c:order val="0"/>
          <c:tx>
            <c:strRef>
              <c:f>"gcc"</c:f>
              <c:strCache>
                <c:ptCount val="1"/>
                <c:pt idx="0">
                  <c:v>gcc</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delete val="true"/>
          </c:dLbls>
          <c:cat>
            <c:numRef>
              <c:f>[analysis.xlsx]gcc!$C$150:$C$257</c:f>
              <c:numCache>
                <c:formatCode>General</c:formatCode>
                <c:ptCount val="3"/>
                <c:pt idx="0">
                  <c:v>5</c:v>
                </c:pt>
                <c:pt idx="1">
                  <c:v>6</c:v>
                </c:pt>
                <c:pt idx="2">
                  <c:v>7</c:v>
                </c:pt>
              </c:numCache>
            </c:numRef>
          </c:cat>
          <c:val>
            <c:numRef>
              <c:f>[analysis.xlsx]gcc!$E$150:$E$257</c:f>
              <c:numCache>
                <c:formatCode>General</c:formatCode>
                <c:ptCount val="3"/>
                <c:pt idx="0">
                  <c:v>0.834051</c:v>
                </c:pt>
                <c:pt idx="1">
                  <c:v>0.888789</c:v>
                </c:pt>
                <c:pt idx="2">
                  <c:v>0.929396</c:v>
                </c:pt>
              </c:numCache>
            </c:numRef>
          </c:val>
          <c:smooth val="false"/>
        </c:ser>
        <c:dLbls>
          <c:showLegendKey val="false"/>
          <c:showVal val="false"/>
          <c:showCatName val="false"/>
          <c:showSerName val="false"/>
          <c:showPercent val="false"/>
          <c:showBubbleSize val="false"/>
        </c:dLbls>
        <c:marker val="true"/>
        <c:smooth val="false"/>
        <c:axId val="826011738"/>
        <c:axId val="999989221"/>
      </c:lineChart>
      <c:catAx>
        <c:axId val="826011738"/>
        <c:scaling>
          <c:orientation val="minMax"/>
        </c:scaling>
        <c:delete val="false"/>
        <c:axPos val="b"/>
        <c:title>
          <c:tx>
            <c:rich>
              <a:bodyPr rot="0" spcFirstLastPara="0" vertOverflow="ellipsis" vert="horz" wrap="square" anchor="ctr" anchorCtr="true"/>
              <a:lstStyle/>
              <a:p>
                <a:pPr defTabSz="914400">
                  <a:defRPr lang="en-US" sz="1000" b="0" i="0" u="none" strike="noStrike" kern="1200" baseline="0">
                    <a:solidFill>
                      <a:schemeClr val="tx1">
                        <a:lumMod val="65000"/>
                        <a:lumOff val="35000"/>
                      </a:schemeClr>
                    </a:solidFill>
                    <a:latin typeface="+mn-lt"/>
                    <a:ea typeface="+mn-ea"/>
                    <a:cs typeface="+mn-cs"/>
                  </a:defRPr>
                </a:pPr>
                <a:r>
                  <a:rPr lang="en-US" altLang="en-US"/>
                  <a:t>Fix G=38 and increasing P from 5 to 7</a:t>
                </a:r>
                <a:endParaRPr lang="en-US" altLang="en-US"/>
              </a:p>
            </c:rich>
          </c:tx>
          <c:layout>
            <c:manualLayout>
              <c:xMode val="edge"/>
              <c:yMode val="edge"/>
              <c:x val="0.173896446800157"/>
              <c:y val="0.76437280672344"/>
            </c:manualLayout>
          </c:layout>
          <c:overlay val="false"/>
          <c:spPr>
            <a:noFill/>
            <a:ln>
              <a:noFill/>
            </a:ln>
            <a:effectLst/>
          </c:sp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true"/>
          <a:lstStyle/>
          <a:p>
            <a:pPr>
              <a:defRPr lang="en-US" sz="900" b="0" i="0" u="none" strike="noStrike" kern="1200" baseline="0">
                <a:solidFill>
                  <a:schemeClr val="tx1">
                    <a:lumMod val="65000"/>
                    <a:lumOff val="35000"/>
                  </a:schemeClr>
                </a:solidFill>
                <a:latin typeface="+mn-lt"/>
                <a:ea typeface="+mn-ea"/>
                <a:cs typeface="+mn-cs"/>
              </a:defRPr>
            </a:pPr>
          </a:p>
        </c:txPr>
        <c:crossAx val="999989221"/>
        <c:crosses val="autoZero"/>
        <c:auto val="true"/>
        <c:lblAlgn val="ctr"/>
        <c:lblOffset val="100"/>
        <c:noMultiLvlLbl val="false"/>
      </c:catAx>
      <c:valAx>
        <c:axId val="999989221"/>
        <c:scaling>
          <c:orientation val="minMax"/>
        </c:scaling>
        <c:delete val="false"/>
        <c:axPos val="l"/>
        <c:majorGridlines>
          <c:spPr>
            <a:ln w="9525" cap="flat" cmpd="sng" algn="ctr">
              <a:solidFill>
                <a:schemeClr val="tx1">
                  <a:lumMod val="15000"/>
                  <a:lumOff val="85000"/>
                </a:schemeClr>
              </a:solidFill>
              <a:round/>
            </a:ln>
            <a:effectLst/>
          </c:spPr>
        </c:majorGridlines>
        <c:title>
          <c:tx>
            <c:rich>
              <a:bodyPr rot="-5400000" spcFirstLastPara="0" vertOverflow="ellipsis" vert="horz" wrap="square" anchor="ctr" anchorCtr="true"/>
              <a:lstStyle/>
              <a:p>
                <a:pPr defTabSz="914400">
                  <a:defRPr lang="en-US" sz="1000" b="0" i="0" u="none" strike="noStrike" kern="1200" baseline="0">
                    <a:solidFill>
                      <a:schemeClr val="tx1">
                        <a:lumMod val="65000"/>
                        <a:lumOff val="35000"/>
                      </a:schemeClr>
                    </a:solidFill>
                    <a:latin typeface="+mn-lt"/>
                    <a:ea typeface="+mn-ea"/>
                    <a:cs typeface="+mn-cs"/>
                  </a:defRPr>
                </a:pPr>
                <a:r>
                  <a:rPr lang="en-US" altLang="en-US"/>
                  <a:t>Accuracy</a:t>
                </a:r>
                <a:endParaRPr lang="en-US" altLang="en-US"/>
              </a:p>
            </c:rich>
          </c:tx>
          <c:layout/>
          <c:overlay val="false"/>
          <c:spPr>
            <a:noFill/>
            <a:ln>
              <a:noFill/>
            </a:ln>
            <a:effectLst/>
          </c:spPr>
        </c:title>
        <c:numFmt formatCode="General" sourceLinked="true"/>
        <c:majorTickMark val="none"/>
        <c:minorTickMark val="none"/>
        <c:tickLblPos val="nextTo"/>
        <c:spPr>
          <a:noFill/>
          <a:ln>
            <a:noFill/>
          </a:ln>
          <a:effectLst/>
        </c:spPr>
        <c:txPr>
          <a:bodyPr rot="-60000000" spcFirstLastPara="0" vertOverflow="ellipsis" vert="horz" wrap="square" anchor="ctr" anchorCtr="true"/>
          <a:lstStyle/>
          <a:p>
            <a:pPr>
              <a:defRPr lang="en-US" sz="900" b="0" i="0" u="none" strike="noStrike" kern="1200" baseline="0">
                <a:solidFill>
                  <a:schemeClr val="tx1">
                    <a:lumMod val="65000"/>
                    <a:lumOff val="35000"/>
                  </a:schemeClr>
                </a:solidFill>
                <a:latin typeface="+mn-lt"/>
                <a:ea typeface="+mn-ea"/>
                <a:cs typeface="+mn-cs"/>
              </a:defRPr>
            </a:pPr>
          </a:p>
        </c:txPr>
        <c:crossAx val="826011738"/>
        <c:crosses val="autoZero"/>
        <c:crossBetween val="between"/>
      </c:valAx>
      <c:spPr>
        <a:noFill/>
        <a:ln>
          <a:noFill/>
        </a:ln>
        <a:effectLst/>
      </c:spPr>
    </c:plotArea>
    <c:legend>
      <c:legendPos val="b"/>
      <c:layout/>
      <c:overlay val="false"/>
      <c:spPr>
        <a:noFill/>
        <a:ln>
          <a:noFill/>
        </a:ln>
        <a:effectLst/>
      </c:spPr>
      <c:txPr>
        <a:bodyPr rot="0" spcFirstLastPara="0" vertOverflow="ellipsis" vert="horz" wrap="square" anchor="ctr" anchorCtr="true"/>
        <a:lstStyle/>
        <a:p>
          <a:pPr>
            <a:defRPr lang="en-US" sz="900" b="0" i="0" u="none" strike="noStrike" kern="1200" baseline="0">
              <a:solidFill>
                <a:schemeClr val="tx1">
                  <a:lumMod val="65000"/>
                  <a:lumOff val="35000"/>
                </a:schemeClr>
              </a:solidFill>
              <a:latin typeface="+mn-lt"/>
              <a:ea typeface="+mn-ea"/>
              <a:cs typeface="+mn-cs"/>
            </a:defRPr>
          </a:pPr>
        </a:p>
      </c:txPr>
    </c:legend>
    <c:plotVisOnly val="true"/>
    <c:dispBlanksAs val="gap"/>
    <c:showDLblsOverMax val="false"/>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false"/>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false"/>
  <c:lang val="zh-CN"/>
  <c:roundedCorners val="false"/>
  <mc:AlternateContent xmlns:mc="http://schemas.openxmlformats.org/markup-compatibility/2006">
    <mc:Choice xmlns:c14="http://schemas.microsoft.com/office/drawing/2007/8/2/chart" Requires="c14">
      <c14:style val="102"/>
    </mc:Choice>
    <mc:Fallback>
      <c:style val="2"/>
    </mc:Fallback>
  </mc:AlternateContent>
  <c:chart>
    <c:autoTitleDeleted val="true"/>
    <c:plotArea>
      <c:layout/>
      <c:lineChart>
        <c:grouping val="standard"/>
        <c:varyColors val="false"/>
        <c:ser>
          <c:idx val="0"/>
          <c:order val="0"/>
          <c:tx>
            <c:strRef>
              <c:f>"gcc"</c:f>
              <c:strCache>
                <c:ptCount val="1"/>
                <c:pt idx="0">
                  <c:v>gcc</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delete val="true"/>
          </c:dLbls>
          <c:cat>
            <c:numRef>
              <c:f>[analysis.xlsx]gcc!$B$74:$B$188</c:f>
              <c:numCache>
                <c:formatCode>General</c:formatCode>
                <c:ptCount val="9"/>
                <c:pt idx="0">
                  <c:v>1</c:v>
                </c:pt>
                <c:pt idx="1">
                  <c:v>2</c:v>
                </c:pt>
                <c:pt idx="2">
                  <c:v>3</c:v>
                </c:pt>
                <c:pt idx="3">
                  <c:v>4</c:v>
                </c:pt>
                <c:pt idx="4">
                  <c:v>5</c:v>
                </c:pt>
                <c:pt idx="5">
                  <c:v>6</c:v>
                </c:pt>
                <c:pt idx="6">
                  <c:v>7</c:v>
                </c:pt>
                <c:pt idx="7">
                  <c:v>8</c:v>
                </c:pt>
                <c:pt idx="8">
                  <c:v>9</c:v>
                </c:pt>
              </c:numCache>
            </c:numRef>
          </c:cat>
          <c:val>
            <c:numRef>
              <c:f>[analysis.xlsx]gcc!$E$58:$E$64</c:f>
            </c:numRef>
          </c:val>
          <c:smooth val="false"/>
        </c:ser>
        <c:ser>
          <c:idx val="1"/>
          <c:order val="1"/>
          <c:tx>
            <c:strRef>
              <c:f>"perlbench"</c:f>
              <c:strCache>
                <c:ptCount val="1"/>
                <c:pt idx="0">
                  <c:v>perlbench</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delete val="true"/>
          </c:dLbls>
          <c:cat>
            <c:numRef>
              <c:f>[analysis.xlsx]gcc!$B$74:$B$188</c:f>
              <c:numCache>
                <c:formatCode>General</c:formatCode>
                <c:ptCount val="9"/>
                <c:pt idx="0">
                  <c:v>1</c:v>
                </c:pt>
                <c:pt idx="1">
                  <c:v>2</c:v>
                </c:pt>
                <c:pt idx="2">
                  <c:v>3</c:v>
                </c:pt>
                <c:pt idx="3">
                  <c:v>4</c:v>
                </c:pt>
                <c:pt idx="4">
                  <c:v>5</c:v>
                </c:pt>
                <c:pt idx="5">
                  <c:v>6</c:v>
                </c:pt>
                <c:pt idx="6">
                  <c:v>7</c:v>
                </c:pt>
                <c:pt idx="7">
                  <c:v>8</c:v>
                </c:pt>
                <c:pt idx="8">
                  <c:v>9</c:v>
                </c:pt>
              </c:numCache>
            </c:numRef>
          </c:cat>
          <c:val>
            <c:numRef>
              <c:f>[analysis.xlsx]gcc!$J$58:$J$64</c:f>
            </c:numRef>
          </c:val>
          <c:smooth val="false"/>
        </c:ser>
        <c:ser>
          <c:idx val="2"/>
          <c:order val="2"/>
          <c:tx>
            <c:strRef>
              <c:f>"gcc"</c:f>
              <c:strCache>
                <c:ptCount val="1"/>
                <c:pt idx="0">
                  <c:v>gcc</c:v>
                </c:pt>
              </c:strCache>
            </c:strRef>
          </c:tx>
          <c:spPr>
            <a:ln w="28575" cap="rnd">
              <a:solidFill>
                <a:srgbClr val="00B0F0"/>
              </a:solidFill>
              <a:round/>
            </a:ln>
            <a:effectLst/>
          </c:spPr>
          <c:marker>
            <c:symbol val="circle"/>
            <c:size val="5"/>
            <c:spPr>
              <a:solidFill>
                <a:schemeClr val="accent3"/>
              </a:solidFill>
              <a:ln w="9525">
                <a:solidFill>
                  <a:schemeClr val="accent3"/>
                </a:solidFill>
              </a:ln>
              <a:effectLst/>
            </c:spPr>
          </c:marker>
          <c:dLbls>
            <c:delete val="true"/>
          </c:dLbls>
          <c:cat>
            <c:numRef>
              <c:f>[analysis.xlsx]gcc!$B$74:$B$188</c:f>
              <c:numCache>
                <c:formatCode>General</c:formatCode>
                <c:ptCount val="9"/>
                <c:pt idx="0">
                  <c:v>1</c:v>
                </c:pt>
                <c:pt idx="1">
                  <c:v>2</c:v>
                </c:pt>
                <c:pt idx="2">
                  <c:v>3</c:v>
                </c:pt>
                <c:pt idx="3">
                  <c:v>4</c:v>
                </c:pt>
                <c:pt idx="4">
                  <c:v>5</c:v>
                </c:pt>
                <c:pt idx="5">
                  <c:v>6</c:v>
                </c:pt>
                <c:pt idx="6">
                  <c:v>7</c:v>
                </c:pt>
                <c:pt idx="7">
                  <c:v>8</c:v>
                </c:pt>
                <c:pt idx="8">
                  <c:v>9</c:v>
                </c:pt>
              </c:numCache>
            </c:numRef>
          </c:cat>
          <c:val>
            <c:numRef>
              <c:f>[analysis.xlsx]gcc!$E$74:$E$188</c:f>
              <c:numCache>
                <c:formatCode>General</c:formatCode>
                <c:ptCount val="9"/>
                <c:pt idx="0">
                  <c:v>0.897951</c:v>
                </c:pt>
                <c:pt idx="1">
                  <c:v>0.92115</c:v>
                </c:pt>
                <c:pt idx="2">
                  <c:v>0.934654</c:v>
                </c:pt>
                <c:pt idx="3">
                  <c:v>0.944781</c:v>
                </c:pt>
                <c:pt idx="4">
                  <c:v>0.950476</c:v>
                </c:pt>
                <c:pt idx="5">
                  <c:v>0.955316</c:v>
                </c:pt>
                <c:pt idx="6">
                  <c:v>0.959115</c:v>
                </c:pt>
                <c:pt idx="7">
                  <c:v>0.961551</c:v>
                </c:pt>
                <c:pt idx="8">
                  <c:v>0.963747</c:v>
                </c:pt>
              </c:numCache>
            </c:numRef>
          </c:val>
          <c:smooth val="false"/>
        </c:ser>
        <c:dLbls>
          <c:showLegendKey val="false"/>
          <c:showVal val="false"/>
          <c:showCatName val="false"/>
          <c:showSerName val="false"/>
          <c:showPercent val="false"/>
          <c:showBubbleSize val="false"/>
        </c:dLbls>
        <c:marker val="true"/>
        <c:smooth val="false"/>
        <c:axId val="301000828"/>
        <c:axId val="328913671"/>
      </c:lineChart>
      <c:catAx>
        <c:axId val="301000828"/>
        <c:scaling>
          <c:orientation val="minMax"/>
        </c:scaling>
        <c:delete val="false"/>
        <c:axPos val="b"/>
        <c:title>
          <c:tx>
            <c:rich>
              <a:bodyPr rot="0" spcFirstLastPara="0" vertOverflow="ellipsis" vert="horz" wrap="square" anchor="ctr" anchorCtr="true"/>
              <a:lstStyle/>
              <a:p>
                <a:pPr defTabSz="914400">
                  <a:defRPr lang="en-US" sz="1000" b="0" i="0" u="none" strike="noStrike" kern="1200" baseline="0">
                    <a:solidFill>
                      <a:schemeClr val="tx1">
                        <a:lumMod val="65000"/>
                        <a:lumOff val="35000"/>
                      </a:schemeClr>
                    </a:solidFill>
                    <a:latin typeface="+mn-lt"/>
                    <a:ea typeface="+mn-ea"/>
                    <a:cs typeface="+mn-cs"/>
                  </a:defRPr>
                </a:pPr>
                <a:r>
                  <a:rPr lang="en-US" altLang="en-US"/>
                  <a:t>Fix P=10 and increasing G from 1 to 9</a:t>
                </a:r>
                <a:endParaRPr lang="en-US" altLang="en-US"/>
              </a:p>
            </c:rich>
          </c:tx>
          <c:layout>
            <c:manualLayout>
              <c:xMode val="edge"/>
              <c:yMode val="edge"/>
              <c:x val="0.185934569702021"/>
              <c:y val="0.79029071408411"/>
            </c:manualLayout>
          </c:layout>
          <c:overlay val="false"/>
          <c:spPr>
            <a:noFill/>
            <a:ln>
              <a:noFill/>
            </a:ln>
            <a:effectLst/>
          </c:sp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true"/>
          <a:lstStyle/>
          <a:p>
            <a:pPr>
              <a:defRPr lang="en-US" sz="900" b="0" i="0" u="none" strike="noStrike" kern="1200" baseline="0">
                <a:solidFill>
                  <a:schemeClr val="tx1">
                    <a:lumMod val="65000"/>
                    <a:lumOff val="35000"/>
                  </a:schemeClr>
                </a:solidFill>
                <a:latin typeface="+mn-lt"/>
                <a:ea typeface="+mn-ea"/>
                <a:cs typeface="+mn-cs"/>
              </a:defRPr>
            </a:pPr>
          </a:p>
        </c:txPr>
        <c:crossAx val="328913671"/>
        <c:crosses val="autoZero"/>
        <c:auto val="true"/>
        <c:lblAlgn val="ctr"/>
        <c:lblOffset val="100"/>
        <c:noMultiLvlLbl val="false"/>
      </c:catAx>
      <c:valAx>
        <c:axId val="328913671"/>
        <c:scaling>
          <c:orientation val="minMax"/>
        </c:scaling>
        <c:delete val="false"/>
        <c:axPos val="l"/>
        <c:majorGridlines>
          <c:spPr>
            <a:ln w="9525" cap="flat" cmpd="sng" algn="ctr">
              <a:solidFill>
                <a:schemeClr val="tx1">
                  <a:lumMod val="15000"/>
                  <a:lumOff val="85000"/>
                </a:schemeClr>
              </a:solidFill>
              <a:round/>
            </a:ln>
            <a:effectLst/>
          </c:spPr>
        </c:majorGridlines>
        <c:title>
          <c:tx>
            <c:rich>
              <a:bodyPr rot="-5400000" spcFirstLastPara="0" vertOverflow="ellipsis" vert="horz" wrap="square" anchor="ctr" anchorCtr="true"/>
              <a:lstStyle/>
              <a:p>
                <a:pPr defTabSz="914400">
                  <a:defRPr lang="en-US" sz="1000" b="0" i="0" u="none" strike="noStrike" kern="1200" baseline="0">
                    <a:solidFill>
                      <a:schemeClr val="tx1">
                        <a:lumMod val="65000"/>
                        <a:lumOff val="35000"/>
                      </a:schemeClr>
                    </a:solidFill>
                    <a:latin typeface="+mn-lt"/>
                    <a:ea typeface="+mn-ea"/>
                    <a:cs typeface="+mn-cs"/>
                  </a:defRPr>
                </a:pPr>
                <a:r>
                  <a:rPr lang="en-US" altLang="en-US"/>
                  <a:t>Accuracy</a:t>
                </a:r>
                <a:endParaRPr lang="en-US" altLang="en-US"/>
              </a:p>
            </c:rich>
          </c:tx>
          <c:layout/>
          <c:overlay val="false"/>
          <c:spPr>
            <a:noFill/>
            <a:ln>
              <a:noFill/>
            </a:ln>
            <a:effectLst/>
          </c:spPr>
        </c:title>
        <c:numFmt formatCode="General" sourceLinked="true"/>
        <c:majorTickMark val="none"/>
        <c:minorTickMark val="none"/>
        <c:tickLblPos val="nextTo"/>
        <c:spPr>
          <a:noFill/>
          <a:ln>
            <a:noFill/>
          </a:ln>
          <a:effectLst/>
        </c:spPr>
        <c:txPr>
          <a:bodyPr rot="-60000000" spcFirstLastPara="0" vertOverflow="ellipsis" vert="horz" wrap="square" anchor="ctr" anchorCtr="true"/>
          <a:lstStyle/>
          <a:p>
            <a:pPr>
              <a:defRPr lang="en-US" sz="900" b="0" i="0" u="none" strike="noStrike" kern="1200" baseline="0">
                <a:solidFill>
                  <a:schemeClr val="tx1">
                    <a:lumMod val="65000"/>
                    <a:lumOff val="35000"/>
                  </a:schemeClr>
                </a:solidFill>
                <a:latin typeface="+mn-lt"/>
                <a:ea typeface="+mn-ea"/>
                <a:cs typeface="+mn-cs"/>
              </a:defRPr>
            </a:pPr>
          </a:p>
        </c:txPr>
        <c:crossAx val="301000828"/>
        <c:crosses val="autoZero"/>
        <c:crossBetween val="between"/>
      </c:valAx>
      <c:spPr>
        <a:noFill/>
        <a:ln>
          <a:noFill/>
        </a:ln>
        <a:effectLst/>
      </c:spPr>
    </c:plotArea>
    <c:legend>
      <c:legendPos val="b"/>
      <c:layout/>
      <c:overlay val="false"/>
      <c:spPr>
        <a:noFill/>
        <a:ln>
          <a:noFill/>
        </a:ln>
        <a:effectLst/>
      </c:spPr>
      <c:txPr>
        <a:bodyPr rot="0" spcFirstLastPara="0" vertOverflow="ellipsis" vert="horz" wrap="square" anchor="ctr" anchorCtr="true"/>
        <a:lstStyle/>
        <a:p>
          <a:pPr>
            <a:defRPr lang="en-US" sz="900" b="0" i="0" u="none" strike="noStrike" kern="1200" baseline="0">
              <a:solidFill>
                <a:schemeClr val="tx1">
                  <a:lumMod val="65000"/>
                  <a:lumOff val="35000"/>
                </a:schemeClr>
              </a:solidFill>
              <a:latin typeface="+mn-lt"/>
              <a:ea typeface="+mn-ea"/>
              <a:cs typeface="+mn-cs"/>
            </a:defRPr>
          </a:pPr>
        </a:p>
      </c:txPr>
    </c:legend>
    <c:plotVisOnly val="true"/>
    <c:dispBlanksAs val="gap"/>
    <c:showDLblsOverMax val="false"/>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false"/>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true">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true">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true">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true">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45</TotalTime>
  <ScaleCrop>false</ScaleCrop>
  <LinksUpToDate>false</LinksUpToDate>
  <CharactersWithSpaces>0</CharactersWithSpaces>
  <Application>WPS Office_11.1.0.9662_F1E327BC-269C-435d-A152-05C5408002CA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2021-03-18T20:48:00Z</dcterms:created>
  <dc:creator>cx872</dc:creator>
  <cp:lastModifiedBy>cx872</cp:lastModifiedBy>
  <dcterms:modified xsi:type="dcterms:W3CDTF">2021-03-19T23:33:35Z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1033-11.1.0.9662</vt:lpwstr>
  </property>
</Properties>
</file>