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lang w:val="en"/>
        </w:rPr>
      </w:pPr>
      <w:r>
        <w:rPr>
          <w:rFonts w:hint="default" w:cs="Times New Roman" w:asciiTheme="minorAscii" w:hAnsiTheme="minorAscii"/>
          <w:b/>
          <w:bCs/>
          <w:sz w:val="28"/>
          <w:szCs w:val="28"/>
          <w:lang w:val="en"/>
        </w:rPr>
        <w:t>ECE 4100 | Project 3 Experiments Report | Yue Pan | 04/17/2021</w:t>
      </w:r>
    </w:p>
    <w:p>
      <w:pPr>
        <w:rPr>
          <w:rFonts w:hint="default"/>
          <w:b/>
          <w:bCs/>
          <w:u w:val="single"/>
          <w:lang w:val="en"/>
        </w:rPr>
      </w:pPr>
    </w:p>
    <w:p>
      <w:pPr>
        <w:rPr>
          <w:rFonts w:hint="default"/>
          <w:b/>
          <w:bCs/>
          <w:u w:val="single"/>
          <w:lang w:val="en"/>
        </w:rPr>
      </w:pPr>
      <w:r>
        <w:rPr>
          <w:rFonts w:hint="default"/>
          <w:b/>
          <w:bCs/>
          <w:u w:val="single"/>
          <w:lang w:val="en"/>
        </w:rPr>
        <w:t>Part 1</w:t>
      </w:r>
    </w:p>
    <w:p>
      <w:pPr>
        <w:rPr>
          <w:rFonts w:hint="default"/>
          <w:b w:val="0"/>
          <w:bCs w:val="0"/>
          <w:i w:val="0"/>
          <w:iCs w:val="0"/>
          <w:u w:val="none"/>
          <w:lang w:val="en"/>
        </w:rPr>
      </w:pPr>
      <w:r>
        <w:rPr>
          <w:rFonts w:hint="default"/>
          <w:b w:val="0"/>
          <w:bCs w:val="0"/>
          <w:i w:val="0"/>
          <w:iCs w:val="0"/>
          <w:u w:val="none"/>
          <w:lang w:val="en"/>
        </w:rPr>
        <w:t xml:space="preserve">Before performing the experiments, we should first determine the ranges of parameters. For fetch rate, it won’t make sense for F to exceed the ROB size 12, which is also the effective size of scheduling queue. Therefore, the maximum number of other function units also should not exceed 12, because there can be at most 12 same-category function units being used at the same time. We will first study the effects of varying those parameters. </w:t>
      </w:r>
    </w:p>
    <w:p>
      <w:pPr>
        <w:rPr>
          <w:rFonts w:hint="default"/>
          <w:b w:val="0"/>
          <w:bCs w:val="0"/>
          <w:i w:val="0"/>
          <w:iCs w:val="0"/>
          <w:u w:val="none"/>
          <w:lang w:val="en"/>
        </w:rPr>
      </w:pPr>
      <w:r>
        <w:drawing>
          <wp:anchor distT="0" distB="0" distL="118745" distR="118745" simplePos="0" relativeHeight="251682816" behindDoc="0" locked="0" layoutInCell="1" allowOverlap="1">
            <wp:simplePos x="0" y="0"/>
            <wp:positionH relativeFrom="column">
              <wp:posOffset>-920750</wp:posOffset>
            </wp:positionH>
            <wp:positionV relativeFrom="paragraph">
              <wp:posOffset>93345</wp:posOffset>
            </wp:positionV>
            <wp:extent cx="7167245" cy="1602740"/>
            <wp:effectExtent l="0" t="0" r="14605" b="16510"/>
            <wp:wrapSquare wrapText="bothSides"/>
            <wp:docPr id="11" name="Picture 2"/>
            <wp:cNvGraphicFramePr>
              <a:graphicFrameLocks xmlns:a="http://schemas.openxmlformats.org/drawingml/2006/main" noChangeAspect="true"/>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true"/>
                    </pic:cNvPicPr>
                  </pic:nvPicPr>
                  <pic:blipFill>
                    <a:blip r:embed="rId4"/>
                    <a:stretch>
                      <a:fillRect/>
                    </a:stretch>
                  </pic:blipFill>
                  <pic:spPr>
                    <a:xfrm>
                      <a:off x="0" y="0"/>
                      <a:ext cx="7167245" cy="1602740"/>
                    </a:xfrm>
                    <a:prstGeom prst="rect">
                      <a:avLst/>
                    </a:prstGeom>
                    <a:noFill/>
                    <a:ln>
                      <a:noFill/>
                    </a:ln>
                  </pic:spPr>
                </pic:pic>
              </a:graphicData>
            </a:graphic>
          </wp:anchor>
        </w:drawing>
      </w:r>
    </w:p>
    <w:p>
      <w:pPr>
        <w:rPr>
          <w:rFonts w:hint="default"/>
          <w:b w:val="0"/>
          <w:bCs w:val="0"/>
          <w:i w:val="0"/>
          <w:iCs w:val="0"/>
          <w:u w:val="none"/>
          <w:lang w:val="en"/>
        </w:rPr>
      </w:pPr>
      <w:r>
        <w:rPr>
          <w:rFonts w:hint="default"/>
          <w:b w:val="0"/>
          <w:bCs w:val="0"/>
          <w:i w:val="0"/>
          <w:iCs w:val="0"/>
          <w:u w:val="none"/>
          <w:lang w:val="en"/>
        </w:rPr>
        <w:t>The above figures are plotted using the number of function units versus final cycle counts running bwaves603_2M.trace. By keeping other parameters default and varying J, K, L, F, we conclude that in multiple testcases, increasing J above 8 or 9, increasing K units above 1 or 2, and increasing L units above 5 or 6, and increasing fetch rate above 3, do not bring better performance. These results are expected because the trace decides how many function units it can utilize at max. Increasing function units more than that value will cause underutilization of function units.</w:t>
      </w:r>
    </w:p>
    <w:p>
      <w:pPr>
        <w:rPr>
          <w:rFonts w:hint="default"/>
          <w:b w:val="0"/>
          <w:bCs w:val="0"/>
          <w:i w:val="0"/>
          <w:iCs w:val="0"/>
          <w:u w:val="none"/>
          <w:lang w:val="en"/>
        </w:rPr>
      </w:pPr>
    </w:p>
    <w:p>
      <w:pPr>
        <w:rPr>
          <w:rFonts w:hint="default"/>
          <w:b w:val="0"/>
          <w:bCs w:val="0"/>
          <w:i w:val="0"/>
          <w:iCs w:val="0"/>
          <w:u w:val="none"/>
          <w:lang w:val="en"/>
        </w:rPr>
      </w:pPr>
      <w:r>
        <w:rPr>
          <w:rFonts w:hint="default"/>
          <w:b w:val="0"/>
          <w:bCs w:val="0"/>
          <w:i w:val="0"/>
          <w:iCs w:val="0"/>
          <w:u w:val="none"/>
          <w:lang w:val="en"/>
        </w:rPr>
        <w:t xml:space="preserve">With regard to the dispatch queue size, we found that in multiple scenarios, F=3 keeps the dispatch queue small while ensuring high throughput. A lower fetch rate does not fully utilize the function units, and a higher fetch rate makes instructions pile up in the dispatch queue. </w:t>
      </w:r>
    </w:p>
    <w:p>
      <w:pPr>
        <w:rPr>
          <w:rFonts w:hint="default"/>
          <w:b w:val="0"/>
          <w:bCs w:val="0"/>
          <w:i w:val="0"/>
          <w:iCs w:val="0"/>
          <w:u w:val="none"/>
          <w:lang w:val="en"/>
        </w:rPr>
      </w:pPr>
    </w:p>
    <w:p>
      <w:pPr>
        <w:jc w:val="center"/>
      </w:pPr>
      <w:r>
        <w:drawing>
          <wp:inline distT="0" distB="0" distL="114300" distR="114300">
            <wp:extent cx="4219575" cy="1957705"/>
            <wp:effectExtent l="4445" t="4445" r="5080" b="19050"/>
            <wp:docPr id="12"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jc w:val="center"/>
        <w:rPr>
          <w:rFonts w:hint="default"/>
          <w:lang w:val="en"/>
        </w:rPr>
      </w:pPr>
    </w:p>
    <w:p>
      <w:pPr>
        <w:rPr>
          <w:rFonts w:hint="default"/>
          <w:b w:val="0"/>
          <w:bCs w:val="0"/>
          <w:i w:val="0"/>
          <w:iCs w:val="0"/>
          <w:u w:val="none"/>
          <w:lang w:val="en"/>
        </w:rPr>
      </w:pPr>
      <w:r>
        <w:rPr>
          <w:rFonts w:hint="default"/>
          <w:b w:val="0"/>
          <w:bCs w:val="0"/>
          <w:i w:val="0"/>
          <w:iCs w:val="0"/>
          <w:u w:val="none"/>
          <w:lang w:val="en"/>
        </w:rPr>
        <w:t>Finally, running a small set of parameters on every trace: F = [3, 4], J = [7, 9], K = [1, 2], L = [5, 7], we get the results of optimal function units sizes, as shown in the following chart.</w:t>
      </w:r>
    </w:p>
    <w:p>
      <w:pPr>
        <w:rPr>
          <w:rFonts w:hint="default"/>
          <w:b w:val="0"/>
          <w:bCs w:val="0"/>
          <w:i w:val="0"/>
          <w:iCs w:val="0"/>
          <w:u w:val="none"/>
          <w:lang w:val="en"/>
        </w:rPr>
      </w:pPr>
      <w:bookmarkStart w:id="0" w:name="_GoBack"/>
      <w:bookmarkEnd w:id="0"/>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Parameter \ trace</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bwaves</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gcc</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mcf</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perlbench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F</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J</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K</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1</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1</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L</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6</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6</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5</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4" w:hRule="atLeast"/>
        </w:trPr>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Max DispQ Size</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393908</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429015</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439301</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449591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Final Cycle Count</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829437</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864715</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855036</w:t>
            </w:r>
          </w:p>
        </w:tc>
        <w:tc>
          <w:tcPr>
            <w:tcW w:w="1705"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858731</w:t>
            </w:r>
          </w:p>
        </w:tc>
      </w:tr>
    </w:tbl>
    <w:p>
      <w:pPr>
        <w:rPr>
          <w:rFonts w:hint="default"/>
          <w:b w:val="0"/>
          <w:bCs w:val="0"/>
          <w:i w:val="0"/>
          <w:iCs w:val="0"/>
          <w:u w:val="none"/>
          <w:lang w:val="en"/>
        </w:rPr>
      </w:pPr>
    </w:p>
    <w:p>
      <w:pPr>
        <w:rPr>
          <w:rFonts w:hint="default"/>
          <w:b w:val="0"/>
          <w:bCs w:val="0"/>
          <w:i w:val="0"/>
          <w:iCs w:val="0"/>
          <w:u w:val="none"/>
          <w:lang w:val="en"/>
        </w:rPr>
      </w:pPr>
      <w:r>
        <w:rPr>
          <w:rFonts w:hint="default"/>
          <w:b w:val="0"/>
          <w:bCs w:val="0"/>
          <w:i w:val="0"/>
          <w:iCs w:val="0"/>
          <w:u w:val="none"/>
          <w:lang w:val="en"/>
        </w:rPr>
        <w:br w:type="page"/>
      </w:r>
    </w:p>
    <w:p>
      <w:pPr>
        <w:rPr>
          <w:rFonts w:hint="default"/>
          <w:b/>
          <w:bCs/>
          <w:i w:val="0"/>
          <w:iCs w:val="0"/>
          <w:u w:val="single"/>
          <w:lang w:val="en"/>
        </w:rPr>
      </w:pPr>
      <w:r>
        <w:rPr>
          <w:rFonts w:hint="default"/>
          <w:b/>
          <w:bCs/>
          <w:i w:val="0"/>
          <w:iCs w:val="0"/>
          <w:u w:val="single"/>
          <w:lang w:val="en"/>
        </w:rPr>
        <w:t>Part 2</w:t>
      </w:r>
    </w:p>
    <w:p>
      <w:pPr>
        <w:rPr>
          <w:rFonts w:hint="default"/>
          <w:b w:val="0"/>
          <w:bCs w:val="0"/>
          <w:i w:val="0"/>
          <w:iCs w:val="0"/>
          <w:u w:val="none"/>
          <w:lang w:val="en"/>
        </w:rPr>
      </w:pPr>
      <w:r>
        <w:rPr>
          <w:rFonts w:hint="default"/>
          <w:b w:val="0"/>
          <w:bCs w:val="0"/>
          <w:i w:val="0"/>
          <w:iCs w:val="0"/>
          <w:u w:val="none"/>
          <w:lang w:val="en"/>
        </w:rPr>
        <w:t xml:space="preserve">Before experiments, I expect that to see the trend that the maximum cycles count goes down with increasing ROB size but stops decreasing at some point. This is because that a bigger ROB size help better utilizing the function units and improve instruction level parallelism. However, when ROB gets too big, the performance will be, in turn, limited by the number of function units. At this point, a bigger ROB does not bring any performance improvements. </w:t>
      </w:r>
    </w:p>
    <w:p>
      <w:pPr>
        <w:rPr>
          <w:rFonts w:hint="default"/>
          <w:b w:val="0"/>
          <w:bCs w:val="0"/>
          <w:i w:val="0"/>
          <w:iCs w:val="0"/>
          <w:u w:val="none"/>
          <w:lang w:val="en"/>
        </w:rPr>
      </w:pPr>
    </w:p>
    <w:p>
      <w:pPr>
        <w:rPr>
          <w:rFonts w:hint="default"/>
          <w:b w:val="0"/>
          <w:bCs w:val="0"/>
          <w:i w:val="0"/>
          <w:iCs w:val="0"/>
          <w:u w:val="none"/>
          <w:lang w:val="en"/>
        </w:rPr>
      </w:pPr>
      <w:r>
        <w:rPr>
          <w:rFonts w:hint="default"/>
          <w:b w:val="0"/>
          <w:bCs w:val="0"/>
          <w:i w:val="0"/>
          <w:iCs w:val="0"/>
          <w:u w:val="none"/>
          <w:lang w:val="en"/>
        </w:rPr>
        <w:t>This part is relatively straightforward. We will just start increasing the size of ROB from 12. The resulting graphs and optimal ROB sizes are shown below. Note the y-axis is the final cycle count for each trace.</w:t>
      </w:r>
      <w:r>
        <w:drawing>
          <wp:anchor distT="0" distB="0" distL="114300" distR="114300" simplePos="0" relativeHeight="251659264" behindDoc="0" locked="0" layoutInCell="1" allowOverlap="1">
            <wp:simplePos x="0" y="0"/>
            <wp:positionH relativeFrom="column">
              <wp:posOffset>6463665</wp:posOffset>
            </wp:positionH>
            <wp:positionV relativeFrom="paragraph">
              <wp:posOffset>52705</wp:posOffset>
            </wp:positionV>
            <wp:extent cx="6324600" cy="3771900"/>
            <wp:effectExtent l="5080" t="4445" r="13970" b="14605"/>
            <wp:wrapNone/>
            <wp:docPr id="4"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r>
        <w:drawing>
          <wp:anchor distT="0" distB="0" distL="114300" distR="114300" simplePos="0" relativeHeight="251660288" behindDoc="0" locked="0" layoutInCell="1" allowOverlap="1">
            <wp:simplePos x="0" y="0"/>
            <wp:positionH relativeFrom="column">
              <wp:posOffset>13060045</wp:posOffset>
            </wp:positionH>
            <wp:positionV relativeFrom="paragraph">
              <wp:posOffset>52070</wp:posOffset>
            </wp:positionV>
            <wp:extent cx="6390640" cy="3943350"/>
            <wp:effectExtent l="4445" t="5080" r="5715" b="13970"/>
            <wp:wrapNone/>
            <wp:docPr id="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pPr>
        <w:rPr>
          <w:rFonts w:hint="default"/>
          <w:b w:val="0"/>
          <w:bCs w:val="0"/>
          <w:i w:val="0"/>
          <w:iCs w:val="0"/>
          <w:u w:val="none"/>
          <w:lang w:val="en"/>
        </w:rPr>
      </w:pPr>
    </w:p>
    <w:p>
      <w:pPr>
        <w:rPr>
          <w:rFonts w:hint="default"/>
          <w:b w:val="0"/>
          <w:bCs w:val="0"/>
          <w:i w:val="0"/>
          <w:iCs w:val="0"/>
          <w:u w:val="none"/>
          <w:lang w:val="en"/>
        </w:rPr>
      </w:pPr>
      <w:r>
        <w:rPr>
          <w:sz w:val="20"/>
        </w:rPr>
        <mc:AlternateContent>
          <mc:Choice Requires="wps">
            <w:drawing>
              <wp:anchor distT="0" distB="0" distL="114300" distR="114300" simplePos="0" relativeHeight="251669504" behindDoc="0" locked="0" layoutInCell="1" allowOverlap="1">
                <wp:simplePos x="0" y="0"/>
                <wp:positionH relativeFrom="column">
                  <wp:posOffset>3962400</wp:posOffset>
                </wp:positionH>
                <wp:positionV relativeFrom="paragraph">
                  <wp:posOffset>88900</wp:posOffset>
                </wp:positionV>
                <wp:extent cx="760095" cy="242570"/>
                <wp:effectExtent l="4445" t="4445" r="16510" b="19685"/>
                <wp:wrapNone/>
                <wp:docPr id="7" name="Text Box 7"/>
                <wp:cNvGraphicFramePr/>
                <a:graphic xmlns:a="http://schemas.openxmlformats.org/drawingml/2006/main">
                  <a:graphicData uri="http://schemas.microsoft.com/office/word/2010/wordprocessingShape">
                    <wps:wsp>
                      <wps:cNvSpPr txBox="true"/>
                      <wps:spPr>
                        <a:xfrm>
                          <a:off x="0" y="0"/>
                          <a:ext cx="760095" cy="2425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
                              </w:rPr>
                            </w:pPr>
                            <w:r>
                              <w:rPr>
                                <w:rFonts w:hint="default"/>
                                <w:lang w:val="en"/>
                              </w:rPr>
                              <w:t>I = 10000</w:t>
                            </w:r>
                          </w:p>
                        </w:txbxContent>
                      </wps:txbx>
                      <wps:bodyPr rot="0" spcFirstLastPara="0" vertOverflow="overflow" horzOverflow="overflow" vert="horz" wrap="square" lIns="91440" tIns="45720" rIns="91440" bIns="45720" numCol="1" spcCol="0" rtlCol="0" fromWordArt="false" anchor="t" anchorCtr="false" forceAA="false" compatLnSpc="true">
                        <a:noAutofit/>
                      </wps:bodyPr>
                    </wps:wsp>
                  </a:graphicData>
                </a:graphic>
              </wp:anchor>
            </w:drawing>
          </mc:Choice>
          <mc:Fallback>
            <w:pict>
              <v:shape id="_x0000_s1026" o:spid="_x0000_s1026" o:spt="202" type="#_x0000_t202" style="position:absolute;left:0pt;margin-left:312pt;margin-top:7pt;height:19.1pt;width:59.85pt;z-index:251669504;mso-width-relative:page;mso-height-relative:page;" fillcolor="#FFFFFF [3201]" filled="t" stroked="t" coordsize="21600,21600" o:gfxdata="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FgAAAGRycy9QSwECFAAUAAAACACHTuJANC2hF9UAAAAIAQAADwAAAAAAAAAB&#10;ACAAAAA4AAAAZHJzL2Rvd25yZXYueG1sUEsBAhQAFAAAAAgAh07iQM7HFG42AgAAegQAAA4AAAAA&#10;AAAAAQAgAAAAOgEAAGRycy9lMm9Eb2MueG1sUEsFBgAAAAAGAAYAWQEAAOIFAAAAAA==&#10;">
                <v:fill on="t" focussize="0,0"/>
                <v:stroke weight="0.5pt" color="#000000 [3204]" joinstyle="round"/>
                <v:imagedata o:title=""/>
                <o:lock v:ext="edit" aspectratio="f"/>
                <v:textbox>
                  <w:txbxContent>
                    <w:p>
                      <w:pPr>
                        <w:rPr>
                          <w:rFonts w:hint="default"/>
                          <w:lang w:val="en"/>
                        </w:rPr>
                      </w:pPr>
                      <w:r>
                        <w:rPr>
                          <w:rFonts w:hint="default"/>
                          <w:lang w:val="en"/>
                        </w:rPr>
                        <w:t>I = 10000</w:t>
                      </w:r>
                    </w:p>
                  </w:txbxContent>
                </v:textbox>
              </v:shape>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579120</wp:posOffset>
                </wp:positionH>
                <wp:positionV relativeFrom="paragraph">
                  <wp:posOffset>102870</wp:posOffset>
                </wp:positionV>
                <wp:extent cx="687070" cy="268605"/>
                <wp:effectExtent l="5080" t="4445" r="12700" b="12700"/>
                <wp:wrapNone/>
                <wp:docPr id="5" name="Text Box 5"/>
                <wp:cNvGraphicFramePr/>
                <a:graphic xmlns:a="http://schemas.openxmlformats.org/drawingml/2006/main">
                  <a:graphicData uri="http://schemas.microsoft.com/office/word/2010/wordprocessingShape">
                    <wps:wsp>
                      <wps:cNvSpPr txBox="true"/>
                      <wps:spPr>
                        <a:xfrm>
                          <a:off x="1735455" y="2922270"/>
                          <a:ext cx="687070" cy="2686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
                              </w:rPr>
                            </w:pPr>
                            <w:r>
                              <w:rPr>
                                <w:rFonts w:hint="default"/>
                                <w:lang w:val="en"/>
                              </w:rPr>
                              <w:t>I = 1000</w:t>
                            </w:r>
                          </w:p>
                        </w:txbxContent>
                      </wps:txbx>
                      <wps:bodyPr rot="0" spcFirstLastPara="0" vertOverflow="overflow" horzOverflow="overflow" vert="horz" wrap="square" lIns="91440" tIns="45720" rIns="91440" bIns="45720" numCol="1" spcCol="0" rtlCol="0" fromWordArt="false" anchor="t" anchorCtr="false" forceAA="false" compatLnSpc="true">
                        <a:noAutofit/>
                      </wps:bodyPr>
                    </wps:wsp>
                  </a:graphicData>
                </a:graphic>
              </wp:anchor>
            </w:drawing>
          </mc:Choice>
          <mc:Fallback>
            <w:pict>
              <v:shape id="_x0000_s1026" o:spid="_x0000_s1026" o:spt="202" type="#_x0000_t202" style="position:absolute;left:0pt;margin-left:45.6pt;margin-top:8.1pt;height:21.15pt;width:54.1pt;z-index:251663360;mso-width-relative:page;mso-height-relative:page;" fillcolor="#FFFFFF [3201]" filled="t" stroked="t" coordsize="21600,21600" o:gfxdata="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FgAAAGRycy9QSwECFAAUAAAACACHTuJAjNZ069UAAAAIAQAA&#10;DwAAAAAAAAABACAAAAA4AAAAZHJzL2Rvd25yZXYueG1sUEsBAhQAFAAAAAgAh07iQDgZHDw/AgAA&#10;hgQAAA4AAAAAAAAAAQAgAAAAOgEAAGRycy9lMm9Eb2MueG1sUEsFBgAAAAAGAAYAWQEAAOsFAAAA&#10;AA==&#10;">
                <v:fill on="t" focussize="0,0"/>
                <v:stroke weight="0.5pt" color="#000000 [3204]" joinstyle="round"/>
                <v:imagedata o:title=""/>
                <o:lock v:ext="edit" aspectratio="f"/>
                <v:textbox>
                  <w:txbxContent>
                    <w:p>
                      <w:pPr>
                        <w:rPr>
                          <w:rFonts w:hint="default"/>
                          <w:lang w:val="en"/>
                        </w:rPr>
                      </w:pPr>
                      <w:r>
                        <w:rPr>
                          <w:rFonts w:hint="default"/>
                          <w:lang w:val="en"/>
                        </w:rPr>
                        <w:t>I = 1000</w:t>
                      </w:r>
                    </w:p>
                  </w:txbxContent>
                </v:textbox>
              </v:shape>
            </w:pict>
          </mc:Fallback>
        </mc:AlternateContent>
      </w:r>
      <w:r>
        <w:drawing>
          <wp:anchor distT="0" distB="0" distL="114300" distR="114300" simplePos="0" relativeHeight="251658240" behindDoc="0" locked="0" layoutInCell="1" allowOverlap="1">
            <wp:simplePos x="0" y="0"/>
            <wp:positionH relativeFrom="column">
              <wp:posOffset>-745490</wp:posOffset>
            </wp:positionH>
            <wp:positionV relativeFrom="paragraph">
              <wp:posOffset>47625</wp:posOffset>
            </wp:positionV>
            <wp:extent cx="3431540" cy="2983230"/>
            <wp:effectExtent l="5080" t="5080" r="11430" b="21590"/>
            <wp:wrapNone/>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r>
        <w:drawing>
          <wp:anchor distT="0" distB="0" distL="114300" distR="114300" simplePos="0" relativeHeight="251661312" behindDoc="0" locked="0" layoutInCell="1" allowOverlap="1">
            <wp:simplePos x="0" y="0"/>
            <wp:positionH relativeFrom="column">
              <wp:posOffset>2701925</wp:posOffset>
            </wp:positionH>
            <wp:positionV relativeFrom="paragraph">
              <wp:posOffset>40640</wp:posOffset>
            </wp:positionV>
            <wp:extent cx="3323590" cy="2981960"/>
            <wp:effectExtent l="4445" t="4445" r="5715" b="23495"/>
            <wp:wrapNone/>
            <wp:docPr id="1"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r>
        <w:drawing>
          <wp:anchor distT="0" distB="0" distL="114300" distR="114300" simplePos="0" relativeHeight="251662336" behindDoc="0" locked="0" layoutInCell="1" allowOverlap="1">
            <wp:simplePos x="0" y="0"/>
            <wp:positionH relativeFrom="column">
              <wp:posOffset>668020</wp:posOffset>
            </wp:positionH>
            <wp:positionV relativeFrom="paragraph">
              <wp:posOffset>144780</wp:posOffset>
            </wp:positionV>
            <wp:extent cx="4437380" cy="2731135"/>
            <wp:effectExtent l="4445" t="5080" r="15875" b="6985"/>
            <wp:wrapNone/>
            <wp:docPr id="2"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pPr>
        <w:rPr>
          <w:rFonts w:hint="default"/>
          <w:b w:val="0"/>
          <w:bCs w:val="0"/>
          <w:i w:val="0"/>
          <w:iCs w:val="0"/>
          <w:u w:val="none"/>
          <w:lang w:val="en"/>
        </w:rPr>
      </w:pPr>
      <w:r>
        <w:rPr>
          <w:sz w:val="20"/>
        </w:rPr>
        <mc:AlternateContent>
          <mc:Choice Requires="wps">
            <w:drawing>
              <wp:anchor distT="0" distB="0" distL="114300" distR="114300" simplePos="0" relativeHeight="251681792" behindDoc="0" locked="0" layoutInCell="1" allowOverlap="1">
                <wp:simplePos x="0" y="0"/>
                <wp:positionH relativeFrom="column">
                  <wp:posOffset>2517140</wp:posOffset>
                </wp:positionH>
                <wp:positionV relativeFrom="paragraph">
                  <wp:posOffset>85725</wp:posOffset>
                </wp:positionV>
                <wp:extent cx="779780" cy="248920"/>
                <wp:effectExtent l="4445" t="4445" r="15875" b="13335"/>
                <wp:wrapNone/>
                <wp:docPr id="8" name="Text Box 8"/>
                <wp:cNvGraphicFramePr/>
                <a:graphic xmlns:a="http://schemas.openxmlformats.org/drawingml/2006/main">
                  <a:graphicData uri="http://schemas.microsoft.com/office/word/2010/wordprocessingShape">
                    <wps:wsp>
                      <wps:cNvSpPr txBox="true"/>
                      <wps:spPr>
                        <a:xfrm>
                          <a:off x="0" y="0"/>
                          <a:ext cx="779780" cy="2489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
                              </w:rPr>
                            </w:pPr>
                            <w:r>
                              <w:rPr>
                                <w:rFonts w:hint="default"/>
                                <w:lang w:val="en"/>
                              </w:rPr>
                              <w:t>I = 100000</w:t>
                            </w:r>
                          </w:p>
                        </w:txbxContent>
                      </wps:txbx>
                      <wps:bodyPr rot="0" spcFirstLastPara="0" vertOverflow="overflow" horzOverflow="overflow" vert="horz" wrap="square" lIns="91440" tIns="45720" rIns="91440" bIns="45720" numCol="1" spcCol="0" rtlCol="0" fromWordArt="false" anchor="t" anchorCtr="false" forceAA="false" compatLnSpc="true">
                        <a:noAutofit/>
                      </wps:bodyPr>
                    </wps:wsp>
                  </a:graphicData>
                </a:graphic>
              </wp:anchor>
            </w:drawing>
          </mc:Choice>
          <mc:Fallback>
            <w:pict>
              <v:shape id="_x0000_s1026" o:spid="_x0000_s1026" o:spt="202" type="#_x0000_t202" style="position:absolute;left:0pt;margin-left:198.2pt;margin-top:6.75pt;height:19.6pt;width:61.4pt;z-index:251681792;mso-width-relative:page;mso-height-relative:page;" fillcolor="#FFFFFF [3201]" filled="t" stroked="t" coordsize="21600,21600" o:gfxdata="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BYAAABkcnMvUEsBAhQAFAAAAAgAh07iQD3AXorWAAAACQEAAA8AAAAAAAAA&#10;AQAgAAAAOAAAAGRycy9kb3ducmV2LnhtbFBLAQIUABQAAAAIAIdO4kCoE/TlNgIAAHoEAAAOAAAA&#10;AAAAAAEAIAAAADsBAABkcnMvZTJvRG9jLnhtbFBLBQYAAAAABgAGAFkBAADjBQAAAAA=&#10;">
                <v:fill on="t" focussize="0,0"/>
                <v:stroke weight="0.5pt" color="#000000 [3204]" joinstyle="round"/>
                <v:imagedata o:title=""/>
                <o:lock v:ext="edit" aspectratio="f"/>
                <v:textbox>
                  <w:txbxContent>
                    <w:p>
                      <w:pPr>
                        <w:rPr>
                          <w:rFonts w:hint="default"/>
                          <w:lang w:val="en"/>
                        </w:rPr>
                      </w:pPr>
                      <w:r>
                        <w:rPr>
                          <w:rFonts w:hint="default"/>
                          <w:lang w:val="en"/>
                        </w:rPr>
                        <w:t>I = 100000</w:t>
                      </w:r>
                    </w:p>
                  </w:txbxContent>
                </v:textbox>
              </v:shape>
            </w:pict>
          </mc:Fallback>
        </mc:AlternateContent>
      </w: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p>
    <w:p>
      <w:pPr>
        <w:rPr>
          <w:rFonts w:hint="default"/>
          <w:b w:val="0"/>
          <w:bCs w:val="0"/>
          <w:i w:val="0"/>
          <w:iCs w:val="0"/>
          <w:u w:val="none"/>
          <w:lang w:val="en"/>
        </w:rPr>
      </w:pPr>
      <w:r>
        <w:rPr>
          <w:rFonts w:hint="default"/>
          <w:b w:val="0"/>
          <w:bCs w:val="0"/>
          <w:i w:val="0"/>
          <w:iCs w:val="0"/>
          <w:u w:val="none"/>
          <w:lang w:val="en"/>
        </w:rPr>
        <w:t>Optimal ROB sizes for I values and traces:</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3"/>
        <w:gridCol w:w="1703"/>
        <w:gridCol w:w="1704"/>
        <w:gridCol w:w="1704"/>
        <w:gridCol w:w="17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Interrupt \ trace</w:t>
            </w:r>
          </w:p>
        </w:tc>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bwaves</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gcc</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mcf</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perlbench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I = 1000</w:t>
            </w:r>
          </w:p>
        </w:tc>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32</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24</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25</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I = 10000</w:t>
            </w:r>
          </w:p>
        </w:tc>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32</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28</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24</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I = 100000</w:t>
            </w:r>
          </w:p>
        </w:tc>
        <w:tc>
          <w:tcPr>
            <w:tcW w:w="1703"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32</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28</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26</w:t>
            </w:r>
          </w:p>
        </w:tc>
        <w:tc>
          <w:tcPr>
            <w:tcW w:w="1704" w:type="dxa"/>
          </w:tcPr>
          <w:p>
            <w:pPr>
              <w:jc w:val="center"/>
              <w:rPr>
                <w:rFonts w:hint="default"/>
                <w:b w:val="0"/>
                <w:bCs w:val="0"/>
                <w:i w:val="0"/>
                <w:iCs w:val="0"/>
                <w:u w:val="none"/>
                <w:vertAlign w:val="baseline"/>
                <w:lang w:val="en"/>
              </w:rPr>
            </w:pPr>
            <w:r>
              <w:rPr>
                <w:rFonts w:hint="default"/>
                <w:b w:val="0"/>
                <w:bCs w:val="0"/>
                <w:i w:val="0"/>
                <w:iCs w:val="0"/>
                <w:u w:val="none"/>
                <w:vertAlign w:val="baseline"/>
                <w:lang w:val="en"/>
              </w:rPr>
              <w:t>31</w:t>
            </w:r>
          </w:p>
        </w:tc>
      </w:tr>
    </w:tbl>
    <w:p>
      <w:pPr>
        <w:rPr>
          <w:rFonts w:hint="default"/>
          <w:b w:val="0"/>
          <w:bCs w:val="0"/>
          <w:i w:val="0"/>
          <w:iCs w:val="0"/>
          <w:u w:val="none"/>
          <w:lang w:val="e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Ubuntu">
    <w:panose1 w:val="020B0604030602030204"/>
    <w:charset w:val="00"/>
    <w:family w:val="auto"/>
    <w:pitch w:val="default"/>
    <w:sig w:usb0="E00002FF" w:usb1="5000205B" w:usb2="00000000" w:usb3="00000000" w:csb0="2000009F" w:csb1="56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NotDisplayPageBoundaries w:val="true"/>
  <w:embedSystemFonts/>
  <w:bordersDoNotSurroundHeader w:val="false"/>
  <w:bordersDoNotSurroundFooter w:val="false"/>
  <w:documentProtection w:enforcement="0"/>
  <w:defaultTabStop w:val="420"/>
  <w:drawingGridVerticalSpacing w:val="156"/>
  <w:displayHorizontalDrawingGridEvery w:val="1"/>
  <w:displayVerticalDrawingGridEvery w:val="1"/>
  <w:noPunctuationKerning w:val="true"/>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EC18D9"/>
    <w:rsid w:val="061519D2"/>
    <w:rsid w:val="07DFBFA5"/>
    <w:rsid w:val="1ABEF452"/>
    <w:rsid w:val="27AFDD36"/>
    <w:rsid w:val="33F16B9F"/>
    <w:rsid w:val="36F894B3"/>
    <w:rsid w:val="377B7742"/>
    <w:rsid w:val="3A2E2741"/>
    <w:rsid w:val="3FB23DBF"/>
    <w:rsid w:val="5D663313"/>
    <w:rsid w:val="5FFD913A"/>
    <w:rsid w:val="665BDF7C"/>
    <w:rsid w:val="66F7D301"/>
    <w:rsid w:val="6AEB0511"/>
    <w:rsid w:val="6BF79988"/>
    <w:rsid w:val="756251DD"/>
    <w:rsid w:val="7BFFCF23"/>
    <w:rsid w:val="7D7D802B"/>
    <w:rsid w:val="7E7BA8E5"/>
    <w:rsid w:val="945F8174"/>
    <w:rsid w:val="97F85EB9"/>
    <w:rsid w:val="99F7606C"/>
    <w:rsid w:val="AD1B463C"/>
    <w:rsid w:val="B9F673B1"/>
    <w:rsid w:val="BADDF986"/>
    <w:rsid w:val="BDEDB13B"/>
    <w:rsid w:val="BE4E4B30"/>
    <w:rsid w:val="CFFF5C95"/>
    <w:rsid w:val="D5F5C489"/>
    <w:rsid w:val="DEF961A1"/>
    <w:rsid w:val="DFF7CBAA"/>
    <w:rsid w:val="EFF7CE92"/>
    <w:rsid w:val="F67DD701"/>
    <w:rsid w:val="F7EC18D9"/>
    <w:rsid w:val="FBB69402"/>
    <w:rsid w:val="FBC71F34"/>
    <w:rsid w:val="FEC021DB"/>
    <w:rsid w:val="FFB72B56"/>
    <w:rsid w:val="FFBF5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hart" Target="charts/chart5.xml"/><Relationship Id="rId8" Type="http://schemas.openxmlformats.org/officeDocument/2006/relationships/chart" Target="charts/chart4.xml"/><Relationship Id="rId7" Type="http://schemas.openxmlformats.org/officeDocument/2006/relationships/chart" Target="charts/chart3.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chart" Target="charts/chart6.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6.xml"/><Relationship Id="rId2" Type="http://schemas.microsoft.com/office/2011/relationships/chartStyle" Target="style6.xml"/><Relationship Id="rId1" Type="http://schemas.openxmlformats.org/officeDocument/2006/relationships/oleObject" Target="/home/cx872/Documents/ECE_4100/3project/experiments/data.xlsx" TargetMode="External"/></Relationships>
</file>

<file path=word/charts/_rels/chart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home/cx872/Documents/ECE_4100/3project/experiments/data.xlsx" TargetMode="External"/></Relationships>
</file>

<file path=word/charts/_rels/chart3.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home/cx872/Documents/ECE_4100/3project/experiments/data.xlsx" TargetMode="External"/></Relationships>
</file>

<file path=word/charts/_rels/chart4.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oleObject" Target="/home/cx872/Documents/ECE_4100/3project/experiments/data.xlsx" TargetMode="External"/></Relationships>
</file>

<file path=word/charts/_rels/chart5.xml.rels><?xml version="1.0" encoding="UTF-8" standalone="yes"?>
<Relationships xmlns="http://schemas.openxmlformats.org/package/2006/relationships"><Relationship Id="rId3" Type="http://schemas.microsoft.com/office/2011/relationships/chartColorStyle" Target="colors5.xml"/><Relationship Id="rId2" Type="http://schemas.microsoft.com/office/2011/relationships/chartStyle" Target="style5.xml"/><Relationship Id="rId1" Type="http://schemas.openxmlformats.org/officeDocument/2006/relationships/oleObject" Target="/home/cx872/Documents/ECE_4100/3project/experiments/data.xlsx" TargetMode="External"/></Relationships>
</file>

<file path=word/charts/_rels/chart6.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oleObject" Target="/home/cx872/Documents/ECE_4100/3project/experiments/dat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true"/>
          <a:lstStyle/>
          <a:p>
            <a:pPr defTabSz="914400">
              <a:defRPr lang="en-US" sz="1000" b="0" i="0" u="none" strike="noStrike" kern="1200" spc="0" baseline="0">
                <a:solidFill>
                  <a:schemeClr val="tx1">
                    <a:lumMod val="65000"/>
                    <a:lumOff val="35000"/>
                  </a:schemeClr>
                </a:solidFill>
                <a:latin typeface="+mn-lt"/>
                <a:ea typeface="+mn-ea"/>
                <a:cs typeface="+mn-cs"/>
              </a:defRPr>
            </a:pPr>
            <a:r>
              <a:rPr sz="1000"/>
              <a:t>fetch rate</a:t>
            </a:r>
            <a:r>
              <a:rPr lang="en-US" altLang="en-US" sz="1000"/>
              <a:t> versus dispatch queue size</a:t>
            </a:r>
            <a:endParaRPr lang="en-US" altLang="en-US" sz="1000"/>
          </a:p>
        </c:rich>
      </c:tx>
      <c:layout/>
      <c:overlay val="false"/>
      <c:spPr>
        <a:noFill/>
        <a:ln>
          <a:noFill/>
        </a:ln>
        <a:effectLst/>
      </c:spPr>
    </c:title>
    <c:autoTitleDeleted val="false"/>
    <c:plotArea>
      <c:layout/>
      <c:lineChart>
        <c:grouping val="standard"/>
        <c:varyColors val="false"/>
        <c:ser>
          <c:idx val="0"/>
          <c:order val="0"/>
          <c:tx>
            <c:strRef>
              <c:f>"fetch rate"</c:f>
              <c:strCache>
                <c:ptCount val="1"/>
                <c:pt idx="0">
                  <c:v>fetch rate</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elete val="true"/>
          </c:dLbls>
          <c:val>
            <c:numRef>
              <c:f>[data.xlsx]part1_result!$I$48:$I$59</c:f>
              <c:numCache>
                <c:formatCode>General</c:formatCode>
                <c:ptCount val="12"/>
                <c:pt idx="0">
                  <c:v>504</c:v>
                </c:pt>
                <c:pt idx="1">
                  <c:v>1531</c:v>
                </c:pt>
                <c:pt idx="2">
                  <c:v>422704</c:v>
                </c:pt>
                <c:pt idx="3">
                  <c:v>822972</c:v>
                </c:pt>
                <c:pt idx="4">
                  <c:v>1063125</c:v>
                </c:pt>
                <c:pt idx="5">
                  <c:v>1223233</c:v>
                </c:pt>
                <c:pt idx="6">
                  <c:v>1337599</c:v>
                </c:pt>
                <c:pt idx="7">
                  <c:v>1422445</c:v>
                </c:pt>
                <c:pt idx="8">
                  <c:v>1485658</c:v>
                </c:pt>
                <c:pt idx="9">
                  <c:v>1535155</c:v>
                </c:pt>
                <c:pt idx="10">
                  <c:v>1575648</c:v>
                </c:pt>
                <c:pt idx="11">
                  <c:v>1611209</c:v>
                </c:pt>
              </c:numCache>
            </c:numRef>
          </c:val>
          <c:smooth val="false"/>
        </c:ser>
        <c:dLbls>
          <c:showLegendKey val="false"/>
          <c:showVal val="false"/>
          <c:showCatName val="false"/>
          <c:showSerName val="false"/>
          <c:showPercent val="false"/>
          <c:showBubbleSize val="false"/>
        </c:dLbls>
        <c:marker val="true"/>
        <c:smooth val="false"/>
        <c:axId val="780466289"/>
        <c:axId val="580092222"/>
      </c:lineChart>
      <c:catAx>
        <c:axId val="780466289"/>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580092222"/>
        <c:crosses val="autoZero"/>
        <c:auto val="true"/>
        <c:lblAlgn val="ctr"/>
        <c:lblOffset val="100"/>
        <c:noMultiLvlLbl val="false"/>
      </c:catAx>
      <c:valAx>
        <c:axId val="580092222"/>
        <c:scaling>
          <c:orientation val="minMax"/>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780466289"/>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true"/>
          <a:lstStyle/>
          <a:p>
            <a:pPr defTabSz="914400">
              <a:defRPr lang="en-US" sz="1400" b="0" i="0" u="none" strike="noStrike" kern="1200" spc="0" baseline="0">
                <a:solidFill>
                  <a:schemeClr val="tx1">
                    <a:lumMod val="65000"/>
                    <a:lumOff val="35000"/>
                  </a:schemeClr>
                </a:solidFill>
                <a:latin typeface="+mn-lt"/>
                <a:ea typeface="+mn-ea"/>
                <a:cs typeface="+mn-cs"/>
              </a:defRPr>
            </a:pPr>
            <a:r>
              <a:rPr lang="en-US" altLang="en-US"/>
              <a:t>I = 10000</a:t>
            </a:r>
            <a:endParaRPr lang="en-US" altLang="en-US"/>
          </a:p>
        </c:rich>
      </c:tx>
      <c:layout/>
      <c:overlay val="false"/>
      <c:spPr>
        <a:noFill/>
        <a:ln>
          <a:noFill/>
        </a:ln>
        <a:effectLst/>
      </c:spPr>
    </c:title>
    <c:autoTitleDeleted val="false"/>
    <c:plotArea>
      <c:layout/>
      <c:lineChart>
        <c:grouping val="standard"/>
        <c:varyColors val="false"/>
        <c:ser>
          <c:idx val="0"/>
          <c:order val="0"/>
          <c:tx>
            <c:strRef>
              <c:f>"perlbench"</c:f>
              <c:strCache>
                <c:ptCount val="1"/>
                <c:pt idx="0">
                  <c:v>perlbench</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layout>
                <c:manualLayout>
                  <c:x val="-0.0406479525103129"/>
                  <c:y val="0.068013468013468"/>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[data.xlsx]part2_result!$AA$59:$AA$94</c:f>
              <c:numCache>
                <c:formatCode>General</c:formatCode>
                <c:ptCount val="36"/>
                <c:pt idx="0">
                  <c:v>879976</c:v>
                </c:pt>
                <c:pt idx="1">
                  <c:v>835219</c:v>
                </c:pt>
                <c:pt idx="2">
                  <c:v>789589</c:v>
                </c:pt>
                <c:pt idx="3">
                  <c:v>753425</c:v>
                </c:pt>
                <c:pt idx="4">
                  <c:v>739355</c:v>
                </c:pt>
                <c:pt idx="5">
                  <c:v>727781</c:v>
                </c:pt>
                <c:pt idx="6">
                  <c:v>720216</c:v>
                </c:pt>
                <c:pt idx="7">
                  <c:v>710249</c:v>
                </c:pt>
                <c:pt idx="8">
                  <c:v>707789</c:v>
                </c:pt>
                <c:pt idx="9">
                  <c:v>706197</c:v>
                </c:pt>
                <c:pt idx="10">
                  <c:v>704250</c:v>
                </c:pt>
                <c:pt idx="11">
                  <c:v>703866</c:v>
                </c:pt>
                <c:pt idx="12">
                  <c:v>703819</c:v>
                </c:pt>
                <c:pt idx="13">
                  <c:v>703812</c:v>
                </c:pt>
                <c:pt idx="14">
                  <c:v>703819</c:v>
                </c:pt>
                <c:pt idx="15">
                  <c:v>703819</c:v>
                </c:pt>
                <c:pt idx="16">
                  <c:v>703819</c:v>
                </c:pt>
                <c:pt idx="17">
                  <c:v>703819</c:v>
                </c:pt>
                <c:pt idx="18">
                  <c:v>703819</c:v>
                </c:pt>
                <c:pt idx="19">
                  <c:v>703812</c:v>
                </c:pt>
                <c:pt idx="20">
                  <c:v>703812</c:v>
                </c:pt>
                <c:pt idx="21">
                  <c:v>703812</c:v>
                </c:pt>
                <c:pt idx="22">
                  <c:v>703812</c:v>
                </c:pt>
                <c:pt idx="23">
                  <c:v>703812</c:v>
                </c:pt>
                <c:pt idx="24">
                  <c:v>703812</c:v>
                </c:pt>
                <c:pt idx="25">
                  <c:v>703812</c:v>
                </c:pt>
                <c:pt idx="26">
                  <c:v>703812</c:v>
                </c:pt>
                <c:pt idx="27">
                  <c:v>703812</c:v>
                </c:pt>
                <c:pt idx="28">
                  <c:v>703812</c:v>
                </c:pt>
                <c:pt idx="29">
                  <c:v>703812</c:v>
                </c:pt>
                <c:pt idx="30">
                  <c:v>703812</c:v>
                </c:pt>
                <c:pt idx="31">
                  <c:v>703812</c:v>
                </c:pt>
                <c:pt idx="32">
                  <c:v>703812</c:v>
                </c:pt>
                <c:pt idx="33">
                  <c:v>703812</c:v>
                </c:pt>
                <c:pt idx="34">
                  <c:v>703812</c:v>
                </c:pt>
                <c:pt idx="35">
                  <c:v>703812</c:v>
                </c:pt>
              </c:numCache>
            </c:numRef>
          </c:val>
          <c:smooth val="false"/>
        </c:ser>
        <c:ser>
          <c:idx val="1"/>
          <c:order val="1"/>
          <c:tx>
            <c:strRef>
              <c:f>"gcc"</c:f>
              <c:strCache>
                <c:ptCount val="1"/>
                <c:pt idx="0">
                  <c:v>gcc</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layout>
                <c:manualLayout>
                  <c:x val="-0.0476909145789315"/>
                  <c:y val="0.0796296296296296"/>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[data.xlsx]part2_result!$M$59:$M$94</c:f>
              <c:numCache>
                <c:formatCode>General</c:formatCode>
                <c:ptCount val="36"/>
                <c:pt idx="0">
                  <c:v>878655</c:v>
                </c:pt>
                <c:pt idx="1">
                  <c:v>807564</c:v>
                </c:pt>
                <c:pt idx="2">
                  <c:v>779226</c:v>
                </c:pt>
                <c:pt idx="3">
                  <c:v>755977</c:v>
                </c:pt>
                <c:pt idx="4">
                  <c:v>743177</c:v>
                </c:pt>
                <c:pt idx="5">
                  <c:v>734465</c:v>
                </c:pt>
                <c:pt idx="6">
                  <c:v>718804</c:v>
                </c:pt>
                <c:pt idx="7">
                  <c:v>709853</c:v>
                </c:pt>
                <c:pt idx="8">
                  <c:v>707589</c:v>
                </c:pt>
                <c:pt idx="9">
                  <c:v>707099</c:v>
                </c:pt>
                <c:pt idx="10">
                  <c:v>706808</c:v>
                </c:pt>
                <c:pt idx="11">
                  <c:v>706772</c:v>
                </c:pt>
                <c:pt idx="12">
                  <c:v>706770</c:v>
                </c:pt>
                <c:pt idx="13">
                  <c:v>706770</c:v>
                </c:pt>
                <c:pt idx="14">
                  <c:v>706755</c:v>
                </c:pt>
                <c:pt idx="15">
                  <c:v>706755</c:v>
                </c:pt>
                <c:pt idx="16">
                  <c:v>706739</c:v>
                </c:pt>
                <c:pt idx="17">
                  <c:v>706739</c:v>
                </c:pt>
                <c:pt idx="18">
                  <c:v>706739</c:v>
                </c:pt>
                <c:pt idx="19">
                  <c:v>706739</c:v>
                </c:pt>
                <c:pt idx="20">
                  <c:v>706770</c:v>
                </c:pt>
                <c:pt idx="21">
                  <c:v>706770</c:v>
                </c:pt>
                <c:pt idx="22">
                  <c:v>706770</c:v>
                </c:pt>
                <c:pt idx="23">
                  <c:v>706770</c:v>
                </c:pt>
                <c:pt idx="24">
                  <c:v>706770</c:v>
                </c:pt>
                <c:pt idx="25">
                  <c:v>706770</c:v>
                </c:pt>
                <c:pt idx="26">
                  <c:v>706770</c:v>
                </c:pt>
                <c:pt idx="27">
                  <c:v>706770</c:v>
                </c:pt>
                <c:pt idx="28">
                  <c:v>706770</c:v>
                </c:pt>
                <c:pt idx="29">
                  <c:v>706770</c:v>
                </c:pt>
                <c:pt idx="30">
                  <c:v>706770</c:v>
                </c:pt>
                <c:pt idx="31">
                  <c:v>706770</c:v>
                </c:pt>
                <c:pt idx="32">
                  <c:v>706770</c:v>
                </c:pt>
                <c:pt idx="33">
                  <c:v>706770</c:v>
                </c:pt>
                <c:pt idx="34">
                  <c:v>706770</c:v>
                </c:pt>
                <c:pt idx="35">
                  <c:v>706770</c:v>
                </c:pt>
              </c:numCache>
            </c:numRef>
          </c:val>
          <c:smooth val="false"/>
        </c:ser>
        <c:ser>
          <c:idx val="2"/>
          <c:order val="2"/>
          <c:tx>
            <c:strRef>
              <c:f>"mcf"</c:f>
              <c:strCache>
                <c:ptCount val="1"/>
                <c:pt idx="0">
                  <c:v>mcf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layout>
                <c:manualLayout>
                  <c:x val="-0.0337056041855317"/>
                  <c:y val="-0.104882154882155"/>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[data.xlsx]part2_result!$T$59:$T$94</c:f>
              <c:numCache>
                <c:formatCode>General</c:formatCode>
                <c:ptCount val="36"/>
                <c:pt idx="0">
                  <c:v>894680</c:v>
                </c:pt>
                <c:pt idx="1">
                  <c:v>851191</c:v>
                </c:pt>
                <c:pt idx="2">
                  <c:v>805691</c:v>
                </c:pt>
                <c:pt idx="3">
                  <c:v>786584</c:v>
                </c:pt>
                <c:pt idx="4">
                  <c:v>768371</c:v>
                </c:pt>
                <c:pt idx="5">
                  <c:v>751286</c:v>
                </c:pt>
                <c:pt idx="6">
                  <c:v>746693</c:v>
                </c:pt>
                <c:pt idx="7">
                  <c:v>739776</c:v>
                </c:pt>
                <c:pt idx="8">
                  <c:v>733775</c:v>
                </c:pt>
                <c:pt idx="9">
                  <c:v>729490</c:v>
                </c:pt>
                <c:pt idx="10">
                  <c:v>725334</c:v>
                </c:pt>
                <c:pt idx="11">
                  <c:v>725334</c:v>
                </c:pt>
                <c:pt idx="12">
                  <c:v>723653</c:v>
                </c:pt>
                <c:pt idx="13">
                  <c:v>723653</c:v>
                </c:pt>
                <c:pt idx="14">
                  <c:v>723653</c:v>
                </c:pt>
                <c:pt idx="15">
                  <c:v>723653</c:v>
                </c:pt>
                <c:pt idx="16">
                  <c:v>723653</c:v>
                </c:pt>
                <c:pt idx="17">
                  <c:v>723653</c:v>
                </c:pt>
                <c:pt idx="18">
                  <c:v>723653</c:v>
                </c:pt>
                <c:pt idx="19">
                  <c:v>723653</c:v>
                </c:pt>
                <c:pt idx="20">
                  <c:v>723653</c:v>
                </c:pt>
                <c:pt idx="21">
                  <c:v>723653</c:v>
                </c:pt>
                <c:pt idx="22">
                  <c:v>723653</c:v>
                </c:pt>
                <c:pt idx="23">
                  <c:v>723653</c:v>
                </c:pt>
                <c:pt idx="24">
                  <c:v>723653</c:v>
                </c:pt>
                <c:pt idx="25">
                  <c:v>723653</c:v>
                </c:pt>
                <c:pt idx="26">
                  <c:v>723653</c:v>
                </c:pt>
                <c:pt idx="27">
                  <c:v>723653</c:v>
                </c:pt>
                <c:pt idx="28">
                  <c:v>723653</c:v>
                </c:pt>
                <c:pt idx="29">
                  <c:v>723653</c:v>
                </c:pt>
                <c:pt idx="30">
                  <c:v>723653</c:v>
                </c:pt>
                <c:pt idx="31">
                  <c:v>723653</c:v>
                </c:pt>
                <c:pt idx="32">
                  <c:v>723653</c:v>
                </c:pt>
                <c:pt idx="33">
                  <c:v>723653</c:v>
                </c:pt>
                <c:pt idx="34">
                  <c:v>723653</c:v>
                </c:pt>
                <c:pt idx="35">
                  <c:v>723653</c:v>
                </c:pt>
              </c:numCache>
            </c:numRef>
          </c:val>
          <c:smooth val="false"/>
        </c:ser>
        <c:ser>
          <c:idx val="3"/>
          <c:order val="3"/>
          <c:tx>
            <c:strRef>
              <c:f>"bwaves"</c:f>
              <c:strCache>
                <c:ptCount val="1"/>
                <c:pt idx="0">
                  <c:v>bwaves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layout>
                <c:manualLayout>
                  <c:x val="-0.0697253244793239"/>
                  <c:y val="-0.153535353535354"/>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[data.xlsx]part2_result!$F$59:$F$94</c:f>
              <c:numCache>
                <c:formatCode>General</c:formatCode>
                <c:ptCount val="36"/>
                <c:pt idx="0">
                  <c:v>842682</c:v>
                </c:pt>
                <c:pt idx="1">
                  <c:v>815042</c:v>
                </c:pt>
                <c:pt idx="2">
                  <c:v>761034</c:v>
                </c:pt>
                <c:pt idx="3">
                  <c:v>746857</c:v>
                </c:pt>
                <c:pt idx="4">
                  <c:v>742742</c:v>
                </c:pt>
                <c:pt idx="5">
                  <c:v>741815</c:v>
                </c:pt>
                <c:pt idx="6">
                  <c:v>735673</c:v>
                </c:pt>
                <c:pt idx="7">
                  <c:v>734060</c:v>
                </c:pt>
                <c:pt idx="8">
                  <c:v>733037</c:v>
                </c:pt>
                <c:pt idx="9">
                  <c:v>732655</c:v>
                </c:pt>
                <c:pt idx="10">
                  <c:v>732459</c:v>
                </c:pt>
                <c:pt idx="11">
                  <c:v>732426</c:v>
                </c:pt>
                <c:pt idx="12">
                  <c:v>732382</c:v>
                </c:pt>
                <c:pt idx="13">
                  <c:v>732373</c:v>
                </c:pt>
                <c:pt idx="14">
                  <c:v>732373</c:v>
                </c:pt>
                <c:pt idx="15">
                  <c:v>732373</c:v>
                </c:pt>
                <c:pt idx="16">
                  <c:v>732373</c:v>
                </c:pt>
                <c:pt idx="17">
                  <c:v>732373</c:v>
                </c:pt>
                <c:pt idx="18">
                  <c:v>732353</c:v>
                </c:pt>
                <c:pt idx="19">
                  <c:v>732353</c:v>
                </c:pt>
                <c:pt idx="20">
                  <c:v>732345</c:v>
                </c:pt>
                <c:pt idx="21">
                  <c:v>732345</c:v>
                </c:pt>
                <c:pt idx="22">
                  <c:v>732345</c:v>
                </c:pt>
                <c:pt idx="23">
                  <c:v>732345</c:v>
                </c:pt>
                <c:pt idx="24">
                  <c:v>732345</c:v>
                </c:pt>
                <c:pt idx="25">
                  <c:v>732345</c:v>
                </c:pt>
                <c:pt idx="26">
                  <c:v>732345</c:v>
                </c:pt>
                <c:pt idx="27">
                  <c:v>732345</c:v>
                </c:pt>
                <c:pt idx="28">
                  <c:v>732345</c:v>
                </c:pt>
                <c:pt idx="29">
                  <c:v>732345</c:v>
                </c:pt>
                <c:pt idx="30">
                  <c:v>732345</c:v>
                </c:pt>
                <c:pt idx="31">
                  <c:v>732345</c:v>
                </c:pt>
                <c:pt idx="32">
                  <c:v>732345</c:v>
                </c:pt>
                <c:pt idx="33">
                  <c:v>732345</c:v>
                </c:pt>
                <c:pt idx="34">
                  <c:v>732345</c:v>
                </c:pt>
                <c:pt idx="35">
                  <c:v>732345</c:v>
                </c:pt>
              </c:numCache>
            </c:numRef>
          </c:val>
          <c:smooth val="false"/>
        </c:ser>
        <c:dLbls>
          <c:showLegendKey val="false"/>
          <c:showVal val="false"/>
          <c:showCatName val="false"/>
          <c:showSerName val="false"/>
          <c:showPercent val="false"/>
          <c:showBubbleSize val="false"/>
        </c:dLbls>
        <c:marker val="true"/>
        <c:smooth val="false"/>
        <c:axId val="319802901"/>
        <c:axId val="362635715"/>
      </c:lineChart>
      <c:catAx>
        <c:axId val="319802901"/>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62635715"/>
        <c:crosses val="autoZero"/>
        <c:auto val="true"/>
        <c:lblAlgn val="ctr"/>
        <c:lblOffset val="100"/>
        <c:noMultiLvlLbl val="false"/>
      </c:catAx>
      <c:valAx>
        <c:axId val="362635715"/>
        <c:scaling>
          <c:orientation val="minMax"/>
          <c:max val="910000"/>
          <c:min val="670000"/>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19802901"/>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true"/>
          <a:lstStyle/>
          <a:p>
            <a:pPr defTabSz="914400">
              <a:defRPr lang="en-US" sz="1400" b="0" i="0" u="none" strike="noStrike" kern="1200" spc="0" baseline="0">
                <a:solidFill>
                  <a:schemeClr val="tx1">
                    <a:lumMod val="65000"/>
                    <a:lumOff val="35000"/>
                  </a:schemeClr>
                </a:solidFill>
                <a:latin typeface="+mn-lt"/>
                <a:ea typeface="+mn-ea"/>
                <a:cs typeface="+mn-cs"/>
              </a:defRPr>
            </a:pPr>
            <a:r>
              <a:rPr lang="en-US" altLang="en-US"/>
              <a:t>I = 100000</a:t>
            </a:r>
            <a:endParaRPr lang="en-US" altLang="en-US"/>
          </a:p>
        </c:rich>
      </c:tx>
      <c:layout/>
      <c:overlay val="false"/>
      <c:spPr>
        <a:noFill/>
        <a:ln>
          <a:noFill/>
        </a:ln>
        <a:effectLst/>
      </c:spPr>
    </c:title>
    <c:autoTitleDeleted val="false"/>
    <c:plotArea>
      <c:layout/>
      <c:lineChart>
        <c:grouping val="standard"/>
        <c:varyColors val="false"/>
        <c:ser>
          <c:idx val="3"/>
          <c:order val="0"/>
          <c:tx>
            <c:strRef>
              <c:f>"bwaves"</c:f>
              <c:strCache>
                <c:ptCount val="1"/>
                <c:pt idx="0">
                  <c:v>bwaves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layout>
                <c:manualLayout>
                  <c:x val="-0.0335311572700297"/>
                  <c:y val="-0.088244766505636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[data.xlsx]part2_result!$F$118:$F$153</c:f>
              <c:numCache>
                <c:formatCode>General</c:formatCode>
                <c:ptCount val="36"/>
                <c:pt idx="0">
                  <c:v>842452</c:v>
                </c:pt>
                <c:pt idx="1">
                  <c:v>814854</c:v>
                </c:pt>
                <c:pt idx="2">
                  <c:v>760798</c:v>
                </c:pt>
                <c:pt idx="3">
                  <c:v>746639</c:v>
                </c:pt>
                <c:pt idx="4">
                  <c:v>742535</c:v>
                </c:pt>
                <c:pt idx="5">
                  <c:v>741633</c:v>
                </c:pt>
                <c:pt idx="6">
                  <c:v>735489</c:v>
                </c:pt>
                <c:pt idx="7">
                  <c:v>733873</c:v>
                </c:pt>
                <c:pt idx="8">
                  <c:v>732852</c:v>
                </c:pt>
                <c:pt idx="9">
                  <c:v>732470</c:v>
                </c:pt>
                <c:pt idx="10">
                  <c:v>732257</c:v>
                </c:pt>
                <c:pt idx="11">
                  <c:v>732237</c:v>
                </c:pt>
                <c:pt idx="12">
                  <c:v>732181</c:v>
                </c:pt>
                <c:pt idx="13">
                  <c:v>732176</c:v>
                </c:pt>
                <c:pt idx="14">
                  <c:v>732172</c:v>
                </c:pt>
                <c:pt idx="15">
                  <c:v>732172</c:v>
                </c:pt>
                <c:pt idx="16">
                  <c:v>732172</c:v>
                </c:pt>
                <c:pt idx="17">
                  <c:v>732172</c:v>
                </c:pt>
                <c:pt idx="18">
                  <c:v>732151</c:v>
                </c:pt>
                <c:pt idx="19">
                  <c:v>732151</c:v>
                </c:pt>
                <c:pt idx="20">
                  <c:v>732147</c:v>
                </c:pt>
                <c:pt idx="21">
                  <c:v>732147</c:v>
                </c:pt>
                <c:pt idx="22">
                  <c:v>732147</c:v>
                </c:pt>
                <c:pt idx="23">
                  <c:v>732147</c:v>
                </c:pt>
                <c:pt idx="24">
                  <c:v>732147</c:v>
                </c:pt>
                <c:pt idx="25">
                  <c:v>732147</c:v>
                </c:pt>
                <c:pt idx="26">
                  <c:v>732147</c:v>
                </c:pt>
                <c:pt idx="27">
                  <c:v>732147</c:v>
                </c:pt>
                <c:pt idx="28">
                  <c:v>732147</c:v>
                </c:pt>
                <c:pt idx="29">
                  <c:v>732147</c:v>
                </c:pt>
                <c:pt idx="30">
                  <c:v>732147</c:v>
                </c:pt>
                <c:pt idx="31">
                  <c:v>732147</c:v>
                </c:pt>
                <c:pt idx="32">
                  <c:v>732147</c:v>
                </c:pt>
                <c:pt idx="33">
                  <c:v>732147</c:v>
                </c:pt>
                <c:pt idx="34">
                  <c:v>732147</c:v>
                </c:pt>
                <c:pt idx="35">
                  <c:v>732147</c:v>
                </c:pt>
              </c:numCache>
            </c:numRef>
          </c:val>
          <c:smooth val="false"/>
        </c:ser>
        <c:ser>
          <c:idx val="1"/>
          <c:order val="1"/>
          <c:tx>
            <c:strRef>
              <c:f>"gcc"</c:f>
              <c:strCache>
                <c:ptCount val="1"/>
                <c:pt idx="0">
                  <c:v>gcc</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layout>
                <c:manualLayout>
                  <c:x val="-0.0309594460929772"/>
                  <c:y val="-0.172302737520129"/>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[data.xlsx]part2_result!$M$118:$M$153</c:f>
              <c:numCache>
                <c:formatCode>General</c:formatCode>
                <c:ptCount val="36"/>
                <c:pt idx="0">
                  <c:v>878465</c:v>
                </c:pt>
                <c:pt idx="1">
                  <c:v>807383</c:v>
                </c:pt>
                <c:pt idx="2">
                  <c:v>779027</c:v>
                </c:pt>
                <c:pt idx="3">
                  <c:v>755754</c:v>
                </c:pt>
                <c:pt idx="4">
                  <c:v>743024</c:v>
                </c:pt>
                <c:pt idx="5">
                  <c:v>734272</c:v>
                </c:pt>
                <c:pt idx="6">
                  <c:v>718620</c:v>
                </c:pt>
                <c:pt idx="7">
                  <c:v>709675</c:v>
                </c:pt>
                <c:pt idx="8">
                  <c:v>707395</c:v>
                </c:pt>
                <c:pt idx="9">
                  <c:v>706905</c:v>
                </c:pt>
                <c:pt idx="10">
                  <c:v>706604</c:v>
                </c:pt>
                <c:pt idx="11">
                  <c:v>706571</c:v>
                </c:pt>
                <c:pt idx="12">
                  <c:v>706559</c:v>
                </c:pt>
                <c:pt idx="13">
                  <c:v>706556</c:v>
                </c:pt>
                <c:pt idx="14">
                  <c:v>706556</c:v>
                </c:pt>
                <c:pt idx="15">
                  <c:v>706556</c:v>
                </c:pt>
                <c:pt idx="16">
                  <c:v>706553</c:v>
                </c:pt>
                <c:pt idx="17">
                  <c:v>706553</c:v>
                </c:pt>
                <c:pt idx="18">
                  <c:v>706553</c:v>
                </c:pt>
                <c:pt idx="19">
                  <c:v>706553</c:v>
                </c:pt>
                <c:pt idx="20">
                  <c:v>706553</c:v>
                </c:pt>
                <c:pt idx="21">
                  <c:v>706553</c:v>
                </c:pt>
                <c:pt idx="22">
                  <c:v>706553</c:v>
                </c:pt>
                <c:pt idx="23">
                  <c:v>706553</c:v>
                </c:pt>
                <c:pt idx="24">
                  <c:v>706553</c:v>
                </c:pt>
                <c:pt idx="25">
                  <c:v>706553</c:v>
                </c:pt>
                <c:pt idx="26">
                  <c:v>706553</c:v>
                </c:pt>
                <c:pt idx="27">
                  <c:v>706553</c:v>
                </c:pt>
                <c:pt idx="28">
                  <c:v>706553</c:v>
                </c:pt>
                <c:pt idx="29">
                  <c:v>706553</c:v>
                </c:pt>
                <c:pt idx="30">
                  <c:v>706553</c:v>
                </c:pt>
                <c:pt idx="31">
                  <c:v>706553</c:v>
                </c:pt>
                <c:pt idx="32">
                  <c:v>706553</c:v>
                </c:pt>
                <c:pt idx="33">
                  <c:v>706553</c:v>
                </c:pt>
                <c:pt idx="34">
                  <c:v>706553</c:v>
                </c:pt>
                <c:pt idx="35">
                  <c:v>706553</c:v>
                </c:pt>
              </c:numCache>
            </c:numRef>
          </c:val>
          <c:smooth val="false"/>
        </c:ser>
        <c:ser>
          <c:idx val="2"/>
          <c:order val="2"/>
          <c:tx>
            <c:strRef>
              <c:f>"mcf"</c:f>
              <c:strCache>
                <c:ptCount val="1"/>
                <c:pt idx="0">
                  <c:v>mcf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layout>
                <c:manualLayout>
                  <c:x val="-0.0567754698318497"/>
                  <c:y val="-0.09452495974235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[data.xlsx]part2_result!$T$118:$T$153</c:f>
              <c:numCache>
                <c:formatCode>General</c:formatCode>
                <c:ptCount val="36"/>
                <c:pt idx="0">
                  <c:v>894500</c:v>
                </c:pt>
                <c:pt idx="1">
                  <c:v>850976</c:v>
                </c:pt>
                <c:pt idx="2">
                  <c:v>805491</c:v>
                </c:pt>
                <c:pt idx="3">
                  <c:v>786395</c:v>
                </c:pt>
                <c:pt idx="4">
                  <c:v>768173</c:v>
                </c:pt>
                <c:pt idx="5">
                  <c:v>751095</c:v>
                </c:pt>
                <c:pt idx="6">
                  <c:v>746509</c:v>
                </c:pt>
                <c:pt idx="7">
                  <c:v>739552</c:v>
                </c:pt>
                <c:pt idx="8">
                  <c:v>733562</c:v>
                </c:pt>
                <c:pt idx="9">
                  <c:v>729277</c:v>
                </c:pt>
                <c:pt idx="10">
                  <c:v>725119</c:v>
                </c:pt>
                <c:pt idx="11">
                  <c:v>725121</c:v>
                </c:pt>
                <c:pt idx="12">
                  <c:v>723431</c:v>
                </c:pt>
                <c:pt idx="13">
                  <c:v>723432</c:v>
                </c:pt>
                <c:pt idx="14">
                  <c:v>723431</c:v>
                </c:pt>
                <c:pt idx="15">
                  <c:v>723431</c:v>
                </c:pt>
                <c:pt idx="16">
                  <c:v>723431</c:v>
                </c:pt>
                <c:pt idx="17">
                  <c:v>723431</c:v>
                </c:pt>
                <c:pt idx="18">
                  <c:v>723431</c:v>
                </c:pt>
                <c:pt idx="19">
                  <c:v>723431</c:v>
                </c:pt>
                <c:pt idx="20">
                  <c:v>723431</c:v>
                </c:pt>
                <c:pt idx="21">
                  <c:v>723431</c:v>
                </c:pt>
                <c:pt idx="22">
                  <c:v>723431</c:v>
                </c:pt>
                <c:pt idx="23">
                  <c:v>723431</c:v>
                </c:pt>
                <c:pt idx="24">
                  <c:v>723431</c:v>
                </c:pt>
                <c:pt idx="25">
                  <c:v>723431</c:v>
                </c:pt>
                <c:pt idx="26">
                  <c:v>723431</c:v>
                </c:pt>
                <c:pt idx="27">
                  <c:v>723431</c:v>
                </c:pt>
                <c:pt idx="28">
                  <c:v>723431</c:v>
                </c:pt>
                <c:pt idx="29">
                  <c:v>723431</c:v>
                </c:pt>
                <c:pt idx="30">
                  <c:v>723431</c:v>
                </c:pt>
                <c:pt idx="31">
                  <c:v>723431</c:v>
                </c:pt>
                <c:pt idx="32">
                  <c:v>723431</c:v>
                </c:pt>
                <c:pt idx="33">
                  <c:v>723431</c:v>
                </c:pt>
                <c:pt idx="34">
                  <c:v>723431</c:v>
                </c:pt>
                <c:pt idx="35">
                  <c:v>723431</c:v>
                </c:pt>
              </c:numCache>
            </c:numRef>
          </c:val>
          <c:smooth val="false"/>
        </c:ser>
        <c:ser>
          <c:idx val="0"/>
          <c:order val="3"/>
          <c:tx>
            <c:strRef>
              <c:f>"perlbench"</c:f>
              <c:strCache>
                <c:ptCount val="1"/>
                <c:pt idx="0">
                  <c:v>perlbench</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layout>
                <c:manualLayout>
                  <c:x val="-0.0373887240356083"/>
                  <c:y val="0.075684380032206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[data.xlsx]part2_result!$AA$117:$AA$152</c:f>
              <c:numCache>
                <c:formatCode>General</c:formatCode>
                <c:ptCount val="36"/>
                <c:pt idx="0">
                  <c:v>879820</c:v>
                </c:pt>
                <c:pt idx="1">
                  <c:v>834998</c:v>
                </c:pt>
                <c:pt idx="2">
                  <c:v>789396</c:v>
                </c:pt>
                <c:pt idx="3">
                  <c:v>753204</c:v>
                </c:pt>
                <c:pt idx="4">
                  <c:v>739156</c:v>
                </c:pt>
                <c:pt idx="5">
                  <c:v>727590</c:v>
                </c:pt>
                <c:pt idx="6">
                  <c:v>720021</c:v>
                </c:pt>
                <c:pt idx="7">
                  <c:v>710059</c:v>
                </c:pt>
                <c:pt idx="8">
                  <c:v>707594</c:v>
                </c:pt>
                <c:pt idx="9">
                  <c:v>706003</c:v>
                </c:pt>
                <c:pt idx="10">
                  <c:v>704045</c:v>
                </c:pt>
                <c:pt idx="11">
                  <c:v>703682</c:v>
                </c:pt>
                <c:pt idx="12">
                  <c:v>703622</c:v>
                </c:pt>
                <c:pt idx="13">
                  <c:v>703617</c:v>
                </c:pt>
                <c:pt idx="14">
                  <c:v>703612</c:v>
                </c:pt>
                <c:pt idx="15">
                  <c:v>703612</c:v>
                </c:pt>
                <c:pt idx="16">
                  <c:v>703612</c:v>
                </c:pt>
                <c:pt idx="17">
                  <c:v>703612</c:v>
                </c:pt>
                <c:pt idx="18">
                  <c:v>703612</c:v>
                </c:pt>
                <c:pt idx="19">
                  <c:v>703606</c:v>
                </c:pt>
                <c:pt idx="20">
                  <c:v>703606</c:v>
                </c:pt>
                <c:pt idx="21">
                  <c:v>703606</c:v>
                </c:pt>
                <c:pt idx="22">
                  <c:v>703606</c:v>
                </c:pt>
                <c:pt idx="23">
                  <c:v>703606</c:v>
                </c:pt>
                <c:pt idx="24">
                  <c:v>703606</c:v>
                </c:pt>
                <c:pt idx="25">
                  <c:v>703606</c:v>
                </c:pt>
                <c:pt idx="26">
                  <c:v>703606</c:v>
                </c:pt>
                <c:pt idx="27">
                  <c:v>703606</c:v>
                </c:pt>
                <c:pt idx="28">
                  <c:v>703606</c:v>
                </c:pt>
                <c:pt idx="29">
                  <c:v>703606</c:v>
                </c:pt>
                <c:pt idx="30">
                  <c:v>703606</c:v>
                </c:pt>
                <c:pt idx="31">
                  <c:v>703606</c:v>
                </c:pt>
                <c:pt idx="32">
                  <c:v>703606</c:v>
                </c:pt>
                <c:pt idx="33">
                  <c:v>703606</c:v>
                </c:pt>
                <c:pt idx="34">
                  <c:v>703606</c:v>
                </c:pt>
                <c:pt idx="35">
                  <c:v>703606</c:v>
                </c:pt>
              </c:numCache>
            </c:numRef>
          </c:val>
          <c:smooth val="false"/>
        </c:ser>
        <c:dLbls>
          <c:showLegendKey val="false"/>
          <c:showVal val="false"/>
          <c:showCatName val="false"/>
          <c:showSerName val="false"/>
          <c:showPercent val="false"/>
          <c:showBubbleSize val="false"/>
        </c:dLbls>
        <c:marker val="true"/>
        <c:smooth val="false"/>
        <c:axId val="319802901"/>
        <c:axId val="362635715"/>
      </c:lineChart>
      <c:catAx>
        <c:axId val="319802901"/>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62635715"/>
        <c:crosses val="autoZero"/>
        <c:auto val="true"/>
        <c:lblAlgn val="ctr"/>
        <c:lblOffset val="100"/>
        <c:noMultiLvlLbl val="false"/>
      </c:catAx>
      <c:valAx>
        <c:axId val="362635715"/>
        <c:scaling>
          <c:orientation val="minMax"/>
          <c:max val="910000"/>
          <c:min val="670000"/>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19802901"/>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autoTitleDeleted val="true"/>
    <c:plotArea>
      <c:layout/>
      <c:lineChart>
        <c:grouping val="standard"/>
        <c:varyColors val="false"/>
        <c:ser>
          <c:idx val="0"/>
          <c:order val="0"/>
          <c:tx>
            <c:strRef>
              <c:f>"perlbench"</c:f>
              <c:strCache>
                <c:ptCount val="1"/>
                <c:pt idx="0">
                  <c:v>perlbench</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layout>
                <c:manualLayout>
                  <c:x val="0.0350096463269741"/>
                  <c:y val="0.0665066415066415"/>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manualLayout>
                      <c:w val="0.139397519196692"/>
                      <c:h val="0.0510989010989011"/>
                    </c:manualLayout>
                  </c15:layout>
                </c:ext>
              </c:extLst>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[data.xlsx]part2_result!$AA$1:$AA$36</c:f>
              <c:numCache>
                <c:formatCode>General</c:formatCode>
                <c:ptCount val="36"/>
                <c:pt idx="0">
                  <c:v>881996</c:v>
                </c:pt>
                <c:pt idx="1">
                  <c:v>837220</c:v>
                </c:pt>
                <c:pt idx="2">
                  <c:v>791594</c:v>
                </c:pt>
                <c:pt idx="3">
                  <c:v>755457</c:v>
                </c:pt>
                <c:pt idx="4">
                  <c:v>741417</c:v>
                </c:pt>
                <c:pt idx="5">
                  <c:v>729832</c:v>
                </c:pt>
                <c:pt idx="6">
                  <c:v>722234</c:v>
                </c:pt>
                <c:pt idx="7">
                  <c:v>712273</c:v>
                </c:pt>
                <c:pt idx="8">
                  <c:v>709802</c:v>
                </c:pt>
                <c:pt idx="9">
                  <c:v>708184</c:v>
                </c:pt>
                <c:pt idx="10">
                  <c:v>706276</c:v>
                </c:pt>
                <c:pt idx="11">
                  <c:v>705954</c:v>
                </c:pt>
                <c:pt idx="12">
                  <c:v>705836</c:v>
                </c:pt>
                <c:pt idx="13">
                  <c:v>705830</c:v>
                </c:pt>
                <c:pt idx="14">
                  <c:v>705830</c:v>
                </c:pt>
                <c:pt idx="15">
                  <c:v>705830</c:v>
                </c:pt>
                <c:pt idx="16">
                  <c:v>705830</c:v>
                </c:pt>
                <c:pt idx="17">
                  <c:v>705830</c:v>
                </c:pt>
                <c:pt idx="18">
                  <c:v>705830</c:v>
                </c:pt>
                <c:pt idx="19">
                  <c:v>705830</c:v>
                </c:pt>
                <c:pt idx="20">
                  <c:v>705830</c:v>
                </c:pt>
                <c:pt idx="21">
                  <c:v>705830</c:v>
                </c:pt>
                <c:pt idx="22">
                  <c:v>705830</c:v>
                </c:pt>
                <c:pt idx="23">
                  <c:v>705830</c:v>
                </c:pt>
                <c:pt idx="24">
                  <c:v>705830</c:v>
                </c:pt>
                <c:pt idx="25">
                  <c:v>705830</c:v>
                </c:pt>
                <c:pt idx="26">
                  <c:v>705830</c:v>
                </c:pt>
                <c:pt idx="27">
                  <c:v>705830</c:v>
                </c:pt>
                <c:pt idx="28">
                  <c:v>705830</c:v>
                </c:pt>
                <c:pt idx="29">
                  <c:v>705830</c:v>
                </c:pt>
                <c:pt idx="30">
                  <c:v>705830</c:v>
                </c:pt>
                <c:pt idx="31">
                  <c:v>705830</c:v>
                </c:pt>
                <c:pt idx="32">
                  <c:v>705830</c:v>
                </c:pt>
                <c:pt idx="33">
                  <c:v>705830</c:v>
                </c:pt>
                <c:pt idx="34">
                  <c:v>705830</c:v>
                </c:pt>
                <c:pt idx="35">
                  <c:v>705830</c:v>
                </c:pt>
              </c:numCache>
            </c:numRef>
          </c:val>
          <c:smooth val="false"/>
        </c:ser>
        <c:ser>
          <c:idx val="1"/>
          <c:order val="1"/>
          <c:tx>
            <c:strRef>
              <c:f>"gcc"</c:f>
              <c:strCache>
                <c:ptCount val="1"/>
                <c:pt idx="0">
                  <c:v>gcc</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layout>
                <c:manualLayout>
                  <c:x val="-0.110444421844808"/>
                  <c:y val="0.078956228956229"/>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[data.xlsx]part2_result!$M$1:$M$36</c:f>
              <c:numCache>
                <c:formatCode>General</c:formatCode>
                <c:ptCount val="36"/>
                <c:pt idx="0">
                  <c:v>880600</c:v>
                </c:pt>
                <c:pt idx="1">
                  <c:v>809537</c:v>
                </c:pt>
                <c:pt idx="2">
                  <c:v>781199</c:v>
                </c:pt>
                <c:pt idx="3">
                  <c:v>757898</c:v>
                </c:pt>
                <c:pt idx="4">
                  <c:v>744945</c:v>
                </c:pt>
                <c:pt idx="5">
                  <c:v>736288</c:v>
                </c:pt>
                <c:pt idx="6">
                  <c:v>720742</c:v>
                </c:pt>
                <c:pt idx="7">
                  <c:v>711811</c:v>
                </c:pt>
                <c:pt idx="8">
                  <c:v>709566</c:v>
                </c:pt>
                <c:pt idx="9">
                  <c:v>709030</c:v>
                </c:pt>
                <c:pt idx="10">
                  <c:v>708806</c:v>
                </c:pt>
                <c:pt idx="11">
                  <c:v>708710</c:v>
                </c:pt>
                <c:pt idx="12">
                  <c:v>708694</c:v>
                </c:pt>
                <c:pt idx="13">
                  <c:v>708694</c:v>
                </c:pt>
                <c:pt idx="14">
                  <c:v>708694</c:v>
                </c:pt>
                <c:pt idx="15">
                  <c:v>708694</c:v>
                </c:pt>
                <c:pt idx="16">
                  <c:v>708694</c:v>
                </c:pt>
                <c:pt idx="17">
                  <c:v>708694</c:v>
                </c:pt>
                <c:pt idx="18">
                  <c:v>708694</c:v>
                </c:pt>
                <c:pt idx="19">
                  <c:v>708694</c:v>
                </c:pt>
                <c:pt idx="20">
                  <c:v>708694</c:v>
                </c:pt>
                <c:pt idx="21">
                  <c:v>708694</c:v>
                </c:pt>
                <c:pt idx="22">
                  <c:v>708694</c:v>
                </c:pt>
                <c:pt idx="23">
                  <c:v>708694</c:v>
                </c:pt>
                <c:pt idx="24">
                  <c:v>708694</c:v>
                </c:pt>
                <c:pt idx="25">
                  <c:v>708694</c:v>
                </c:pt>
                <c:pt idx="26">
                  <c:v>708694</c:v>
                </c:pt>
                <c:pt idx="27">
                  <c:v>708694</c:v>
                </c:pt>
                <c:pt idx="28">
                  <c:v>708694</c:v>
                </c:pt>
                <c:pt idx="29">
                  <c:v>708694</c:v>
                </c:pt>
                <c:pt idx="30">
                  <c:v>708694</c:v>
                </c:pt>
                <c:pt idx="31">
                  <c:v>708694</c:v>
                </c:pt>
                <c:pt idx="32">
                  <c:v>708694</c:v>
                </c:pt>
                <c:pt idx="33">
                  <c:v>708694</c:v>
                </c:pt>
                <c:pt idx="34">
                  <c:v>708694</c:v>
                </c:pt>
                <c:pt idx="35">
                  <c:v>708694</c:v>
                </c:pt>
              </c:numCache>
            </c:numRef>
          </c:val>
          <c:smooth val="false"/>
        </c:ser>
        <c:ser>
          <c:idx val="2"/>
          <c:order val="2"/>
          <c:tx>
            <c:strRef>
              <c:f>"mcf"</c:f>
              <c:strCache>
                <c:ptCount val="1"/>
                <c:pt idx="0">
                  <c:v>mcf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layout>
                <c:manualLayout>
                  <c:x val="-0.0410861385131699"/>
                  <c:y val="-0.16077441077441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[data.xlsx]part2_result!$T$1:$T$36</c:f>
              <c:numCache>
                <c:formatCode>General</c:formatCode>
                <c:ptCount val="36"/>
                <c:pt idx="0">
                  <c:v>896675</c:v>
                </c:pt>
                <c:pt idx="1">
                  <c:v>853313</c:v>
                </c:pt>
                <c:pt idx="2">
                  <c:v>807755</c:v>
                </c:pt>
                <c:pt idx="3">
                  <c:v>788602</c:v>
                </c:pt>
                <c:pt idx="4">
                  <c:v>770437</c:v>
                </c:pt>
                <c:pt idx="5">
                  <c:v>753342</c:v>
                </c:pt>
                <c:pt idx="6">
                  <c:v>748744</c:v>
                </c:pt>
                <c:pt idx="7">
                  <c:v>741844</c:v>
                </c:pt>
                <c:pt idx="8">
                  <c:v>735896</c:v>
                </c:pt>
                <c:pt idx="9">
                  <c:v>731568</c:v>
                </c:pt>
                <c:pt idx="10">
                  <c:v>727550</c:v>
                </c:pt>
                <c:pt idx="11">
                  <c:v>727536</c:v>
                </c:pt>
                <c:pt idx="12">
                  <c:v>725916</c:v>
                </c:pt>
                <c:pt idx="13">
                  <c:v>725860</c:v>
                </c:pt>
                <c:pt idx="14">
                  <c:v>725860</c:v>
                </c:pt>
                <c:pt idx="15">
                  <c:v>725860</c:v>
                </c:pt>
                <c:pt idx="16">
                  <c:v>725860</c:v>
                </c:pt>
                <c:pt idx="17">
                  <c:v>725860</c:v>
                </c:pt>
                <c:pt idx="18">
                  <c:v>725860</c:v>
                </c:pt>
                <c:pt idx="19">
                  <c:v>725860</c:v>
                </c:pt>
                <c:pt idx="20">
                  <c:v>725860</c:v>
                </c:pt>
                <c:pt idx="21">
                  <c:v>725860</c:v>
                </c:pt>
                <c:pt idx="22">
                  <c:v>725860</c:v>
                </c:pt>
                <c:pt idx="23">
                  <c:v>725860</c:v>
                </c:pt>
                <c:pt idx="24">
                  <c:v>725860</c:v>
                </c:pt>
                <c:pt idx="25">
                  <c:v>725860</c:v>
                </c:pt>
                <c:pt idx="26">
                  <c:v>725860</c:v>
                </c:pt>
                <c:pt idx="27">
                  <c:v>725860</c:v>
                </c:pt>
                <c:pt idx="28">
                  <c:v>725860</c:v>
                </c:pt>
                <c:pt idx="29">
                  <c:v>725860</c:v>
                </c:pt>
                <c:pt idx="30">
                  <c:v>725860</c:v>
                </c:pt>
                <c:pt idx="31">
                  <c:v>725860</c:v>
                </c:pt>
                <c:pt idx="32">
                  <c:v>725860</c:v>
                </c:pt>
                <c:pt idx="33">
                  <c:v>725860</c:v>
                </c:pt>
                <c:pt idx="34">
                  <c:v>725860</c:v>
                </c:pt>
                <c:pt idx="35">
                  <c:v>725860</c:v>
                </c:pt>
              </c:numCache>
            </c:numRef>
          </c:val>
          <c:smooth val="false"/>
        </c:ser>
        <c:ser>
          <c:idx val="3"/>
          <c:order val="3"/>
          <c:tx>
            <c:strRef>
              <c:f>"bwaves"</c:f>
              <c:strCache>
                <c:ptCount val="1"/>
                <c:pt idx="0">
                  <c:v>bwaves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layout>
                <c:manualLayout>
                  <c:x val="-0.03996745652395"/>
                  <c:y val="-0.0835016835016835"/>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[data.xlsx]part2_result!$F$1:$F$36</c:f>
              <c:numCache>
                <c:formatCode>General</c:formatCode>
                <c:ptCount val="36"/>
                <c:pt idx="0">
                  <c:v>845115</c:v>
                </c:pt>
                <c:pt idx="1">
                  <c:v>816825</c:v>
                </c:pt>
                <c:pt idx="2">
                  <c:v>763410</c:v>
                </c:pt>
                <c:pt idx="3">
                  <c:v>749039</c:v>
                </c:pt>
                <c:pt idx="4">
                  <c:v>744668</c:v>
                </c:pt>
                <c:pt idx="5">
                  <c:v>743635</c:v>
                </c:pt>
                <c:pt idx="6">
                  <c:v>737668</c:v>
                </c:pt>
                <c:pt idx="7">
                  <c:v>736079</c:v>
                </c:pt>
                <c:pt idx="8">
                  <c:v>735043</c:v>
                </c:pt>
                <c:pt idx="9">
                  <c:v>734633</c:v>
                </c:pt>
                <c:pt idx="10">
                  <c:v>734383</c:v>
                </c:pt>
                <c:pt idx="11">
                  <c:v>734355</c:v>
                </c:pt>
                <c:pt idx="12">
                  <c:v>734355</c:v>
                </c:pt>
                <c:pt idx="13">
                  <c:v>734355</c:v>
                </c:pt>
                <c:pt idx="14">
                  <c:v>734383</c:v>
                </c:pt>
                <c:pt idx="15">
                  <c:v>734383</c:v>
                </c:pt>
                <c:pt idx="16">
                  <c:v>734383</c:v>
                </c:pt>
                <c:pt idx="17">
                  <c:v>734383</c:v>
                </c:pt>
                <c:pt idx="18">
                  <c:v>734355</c:v>
                </c:pt>
                <c:pt idx="19">
                  <c:v>734355</c:v>
                </c:pt>
                <c:pt idx="20">
                  <c:v>734292</c:v>
                </c:pt>
                <c:pt idx="21">
                  <c:v>734292</c:v>
                </c:pt>
                <c:pt idx="22">
                  <c:v>734292</c:v>
                </c:pt>
                <c:pt idx="23">
                  <c:v>734292</c:v>
                </c:pt>
                <c:pt idx="24">
                  <c:v>734292</c:v>
                </c:pt>
                <c:pt idx="25">
                  <c:v>734292</c:v>
                </c:pt>
                <c:pt idx="26">
                  <c:v>734292</c:v>
                </c:pt>
                <c:pt idx="27">
                  <c:v>734292</c:v>
                </c:pt>
                <c:pt idx="28">
                  <c:v>734292</c:v>
                </c:pt>
                <c:pt idx="29">
                  <c:v>734292</c:v>
                </c:pt>
                <c:pt idx="30">
                  <c:v>734292</c:v>
                </c:pt>
                <c:pt idx="31">
                  <c:v>734292</c:v>
                </c:pt>
                <c:pt idx="32">
                  <c:v>734292</c:v>
                </c:pt>
                <c:pt idx="33">
                  <c:v>734292</c:v>
                </c:pt>
                <c:pt idx="34">
                  <c:v>734292</c:v>
                </c:pt>
                <c:pt idx="35">
                  <c:v>734292</c:v>
                </c:pt>
              </c:numCache>
            </c:numRef>
          </c:val>
          <c:smooth val="false"/>
        </c:ser>
        <c:dLbls>
          <c:showLegendKey val="false"/>
          <c:showVal val="false"/>
          <c:showCatName val="false"/>
          <c:showSerName val="false"/>
          <c:showPercent val="false"/>
          <c:showBubbleSize val="false"/>
        </c:dLbls>
        <c:marker val="true"/>
        <c:smooth val="false"/>
        <c:axId val="319802901"/>
        <c:axId val="362635715"/>
      </c:lineChart>
      <c:catAx>
        <c:axId val="319802901"/>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62635715"/>
        <c:crosses val="autoZero"/>
        <c:auto val="true"/>
        <c:lblAlgn val="ctr"/>
        <c:lblOffset val="100"/>
        <c:noMultiLvlLbl val="false"/>
      </c:catAx>
      <c:valAx>
        <c:axId val="362635715"/>
        <c:scaling>
          <c:orientation val="minMax"/>
          <c:max val="910000"/>
          <c:min val="670000"/>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19802901"/>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autoTitleDeleted val="true"/>
    <c:plotArea>
      <c:layout/>
      <c:lineChart>
        <c:grouping val="standard"/>
        <c:varyColors val="false"/>
        <c:ser>
          <c:idx val="0"/>
          <c:order val="0"/>
          <c:tx>
            <c:strRef>
              <c:f>"perlbench"</c:f>
              <c:strCache>
                <c:ptCount val="1"/>
                <c:pt idx="0">
                  <c:v>perlbench</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layout>
                <c:manualLayout>
                  <c:x val="-0.0406479525103129"/>
                  <c:y val="0.068013468013468"/>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[data.xlsx]part2_result!$AA$59:$AA$94</c:f>
              <c:numCache>
                <c:formatCode>General</c:formatCode>
                <c:ptCount val="36"/>
                <c:pt idx="0">
                  <c:v>879976</c:v>
                </c:pt>
                <c:pt idx="1">
                  <c:v>835219</c:v>
                </c:pt>
                <c:pt idx="2">
                  <c:v>789589</c:v>
                </c:pt>
                <c:pt idx="3">
                  <c:v>753425</c:v>
                </c:pt>
                <c:pt idx="4">
                  <c:v>739355</c:v>
                </c:pt>
                <c:pt idx="5">
                  <c:v>727781</c:v>
                </c:pt>
                <c:pt idx="6">
                  <c:v>720216</c:v>
                </c:pt>
                <c:pt idx="7">
                  <c:v>710249</c:v>
                </c:pt>
                <c:pt idx="8">
                  <c:v>707789</c:v>
                </c:pt>
                <c:pt idx="9">
                  <c:v>706197</c:v>
                </c:pt>
                <c:pt idx="10">
                  <c:v>704250</c:v>
                </c:pt>
                <c:pt idx="11">
                  <c:v>703866</c:v>
                </c:pt>
                <c:pt idx="12">
                  <c:v>703819</c:v>
                </c:pt>
                <c:pt idx="13">
                  <c:v>703812</c:v>
                </c:pt>
                <c:pt idx="14">
                  <c:v>703819</c:v>
                </c:pt>
                <c:pt idx="15">
                  <c:v>703819</c:v>
                </c:pt>
                <c:pt idx="16">
                  <c:v>703819</c:v>
                </c:pt>
                <c:pt idx="17">
                  <c:v>703819</c:v>
                </c:pt>
                <c:pt idx="18">
                  <c:v>703819</c:v>
                </c:pt>
                <c:pt idx="19">
                  <c:v>703812</c:v>
                </c:pt>
                <c:pt idx="20">
                  <c:v>703812</c:v>
                </c:pt>
                <c:pt idx="21">
                  <c:v>703812</c:v>
                </c:pt>
                <c:pt idx="22">
                  <c:v>703812</c:v>
                </c:pt>
                <c:pt idx="23">
                  <c:v>703812</c:v>
                </c:pt>
                <c:pt idx="24">
                  <c:v>703812</c:v>
                </c:pt>
                <c:pt idx="25">
                  <c:v>703812</c:v>
                </c:pt>
                <c:pt idx="26">
                  <c:v>703812</c:v>
                </c:pt>
                <c:pt idx="27">
                  <c:v>703812</c:v>
                </c:pt>
                <c:pt idx="28">
                  <c:v>703812</c:v>
                </c:pt>
                <c:pt idx="29">
                  <c:v>703812</c:v>
                </c:pt>
                <c:pt idx="30">
                  <c:v>703812</c:v>
                </c:pt>
                <c:pt idx="31">
                  <c:v>703812</c:v>
                </c:pt>
                <c:pt idx="32">
                  <c:v>703812</c:v>
                </c:pt>
                <c:pt idx="33">
                  <c:v>703812</c:v>
                </c:pt>
                <c:pt idx="34">
                  <c:v>703812</c:v>
                </c:pt>
                <c:pt idx="35">
                  <c:v>703812</c:v>
                </c:pt>
              </c:numCache>
            </c:numRef>
          </c:val>
          <c:smooth val="false"/>
        </c:ser>
        <c:ser>
          <c:idx val="1"/>
          <c:order val="1"/>
          <c:tx>
            <c:strRef>
              <c:f>"gcc"</c:f>
              <c:strCache>
                <c:ptCount val="1"/>
                <c:pt idx="0">
                  <c:v>gcc</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layout>
                <c:manualLayout>
                  <c:x val="-0.109975973807055"/>
                  <c:y val="0.0740833179269119"/>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[data.xlsx]part2_result!$M$59:$M$94</c:f>
              <c:numCache>
                <c:formatCode>General</c:formatCode>
                <c:ptCount val="36"/>
                <c:pt idx="0">
                  <c:v>878655</c:v>
                </c:pt>
                <c:pt idx="1">
                  <c:v>807564</c:v>
                </c:pt>
                <c:pt idx="2">
                  <c:v>779226</c:v>
                </c:pt>
                <c:pt idx="3">
                  <c:v>755977</c:v>
                </c:pt>
                <c:pt idx="4">
                  <c:v>743177</c:v>
                </c:pt>
                <c:pt idx="5">
                  <c:v>734465</c:v>
                </c:pt>
                <c:pt idx="6">
                  <c:v>718804</c:v>
                </c:pt>
                <c:pt idx="7">
                  <c:v>709853</c:v>
                </c:pt>
                <c:pt idx="8">
                  <c:v>707589</c:v>
                </c:pt>
                <c:pt idx="9">
                  <c:v>707099</c:v>
                </c:pt>
                <c:pt idx="10">
                  <c:v>706808</c:v>
                </c:pt>
                <c:pt idx="11">
                  <c:v>706772</c:v>
                </c:pt>
                <c:pt idx="12">
                  <c:v>706770</c:v>
                </c:pt>
                <c:pt idx="13">
                  <c:v>706770</c:v>
                </c:pt>
                <c:pt idx="14">
                  <c:v>706755</c:v>
                </c:pt>
                <c:pt idx="15">
                  <c:v>706755</c:v>
                </c:pt>
                <c:pt idx="16">
                  <c:v>706739</c:v>
                </c:pt>
                <c:pt idx="17">
                  <c:v>706739</c:v>
                </c:pt>
                <c:pt idx="18">
                  <c:v>706739</c:v>
                </c:pt>
                <c:pt idx="19">
                  <c:v>706739</c:v>
                </c:pt>
                <c:pt idx="20">
                  <c:v>706770</c:v>
                </c:pt>
                <c:pt idx="21">
                  <c:v>706770</c:v>
                </c:pt>
                <c:pt idx="22">
                  <c:v>706770</c:v>
                </c:pt>
                <c:pt idx="23">
                  <c:v>706770</c:v>
                </c:pt>
                <c:pt idx="24">
                  <c:v>706770</c:v>
                </c:pt>
                <c:pt idx="25">
                  <c:v>706770</c:v>
                </c:pt>
                <c:pt idx="26">
                  <c:v>706770</c:v>
                </c:pt>
                <c:pt idx="27">
                  <c:v>706770</c:v>
                </c:pt>
                <c:pt idx="28">
                  <c:v>706770</c:v>
                </c:pt>
                <c:pt idx="29">
                  <c:v>706770</c:v>
                </c:pt>
                <c:pt idx="30">
                  <c:v>706770</c:v>
                </c:pt>
                <c:pt idx="31">
                  <c:v>706770</c:v>
                </c:pt>
                <c:pt idx="32">
                  <c:v>706770</c:v>
                </c:pt>
                <c:pt idx="33">
                  <c:v>706770</c:v>
                </c:pt>
                <c:pt idx="34">
                  <c:v>706770</c:v>
                </c:pt>
                <c:pt idx="35">
                  <c:v>706770</c:v>
                </c:pt>
              </c:numCache>
            </c:numRef>
          </c:val>
          <c:smooth val="false"/>
        </c:ser>
        <c:ser>
          <c:idx val="2"/>
          <c:order val="2"/>
          <c:tx>
            <c:strRef>
              <c:f>"mcf"</c:f>
              <c:strCache>
                <c:ptCount val="1"/>
                <c:pt idx="0">
                  <c:v>mcf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layout>
                <c:manualLayout>
                  <c:x val="-0.0337056041855317"/>
                  <c:y val="-0.104882154882155"/>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[data.xlsx]part2_result!$T$59:$T$94</c:f>
              <c:numCache>
                <c:formatCode>General</c:formatCode>
                <c:ptCount val="36"/>
                <c:pt idx="0">
                  <c:v>894680</c:v>
                </c:pt>
                <c:pt idx="1">
                  <c:v>851191</c:v>
                </c:pt>
                <c:pt idx="2">
                  <c:v>805691</c:v>
                </c:pt>
                <c:pt idx="3">
                  <c:v>786584</c:v>
                </c:pt>
                <c:pt idx="4">
                  <c:v>768371</c:v>
                </c:pt>
                <c:pt idx="5">
                  <c:v>751286</c:v>
                </c:pt>
                <c:pt idx="6">
                  <c:v>746693</c:v>
                </c:pt>
                <c:pt idx="7">
                  <c:v>739776</c:v>
                </c:pt>
                <c:pt idx="8">
                  <c:v>733775</c:v>
                </c:pt>
                <c:pt idx="9">
                  <c:v>729490</c:v>
                </c:pt>
                <c:pt idx="10">
                  <c:v>725334</c:v>
                </c:pt>
                <c:pt idx="11">
                  <c:v>725334</c:v>
                </c:pt>
                <c:pt idx="12">
                  <c:v>723653</c:v>
                </c:pt>
                <c:pt idx="13">
                  <c:v>723653</c:v>
                </c:pt>
                <c:pt idx="14">
                  <c:v>723653</c:v>
                </c:pt>
                <c:pt idx="15">
                  <c:v>723653</c:v>
                </c:pt>
                <c:pt idx="16">
                  <c:v>723653</c:v>
                </c:pt>
                <c:pt idx="17">
                  <c:v>723653</c:v>
                </c:pt>
                <c:pt idx="18">
                  <c:v>723653</c:v>
                </c:pt>
                <c:pt idx="19">
                  <c:v>723653</c:v>
                </c:pt>
                <c:pt idx="20">
                  <c:v>723653</c:v>
                </c:pt>
                <c:pt idx="21">
                  <c:v>723653</c:v>
                </c:pt>
                <c:pt idx="22">
                  <c:v>723653</c:v>
                </c:pt>
                <c:pt idx="23">
                  <c:v>723653</c:v>
                </c:pt>
                <c:pt idx="24">
                  <c:v>723653</c:v>
                </c:pt>
                <c:pt idx="25">
                  <c:v>723653</c:v>
                </c:pt>
                <c:pt idx="26">
                  <c:v>723653</c:v>
                </c:pt>
                <c:pt idx="27">
                  <c:v>723653</c:v>
                </c:pt>
                <c:pt idx="28">
                  <c:v>723653</c:v>
                </c:pt>
                <c:pt idx="29">
                  <c:v>723653</c:v>
                </c:pt>
                <c:pt idx="30">
                  <c:v>723653</c:v>
                </c:pt>
                <c:pt idx="31">
                  <c:v>723653</c:v>
                </c:pt>
                <c:pt idx="32">
                  <c:v>723653</c:v>
                </c:pt>
                <c:pt idx="33">
                  <c:v>723653</c:v>
                </c:pt>
                <c:pt idx="34">
                  <c:v>723653</c:v>
                </c:pt>
                <c:pt idx="35">
                  <c:v>723653</c:v>
                </c:pt>
              </c:numCache>
            </c:numRef>
          </c:val>
          <c:smooth val="false"/>
        </c:ser>
        <c:ser>
          <c:idx val="3"/>
          <c:order val="3"/>
          <c:tx>
            <c:strRef>
              <c:f>"bwaves"</c:f>
              <c:strCache>
                <c:ptCount val="1"/>
                <c:pt idx="0">
                  <c:v>bwaves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layout>
                <c:manualLayout>
                  <c:x val="-0.0697253244793239"/>
                  <c:y val="-0.153535353535354"/>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[data.xlsx]part2_result!$F$59:$F$94</c:f>
              <c:numCache>
                <c:formatCode>General</c:formatCode>
                <c:ptCount val="36"/>
                <c:pt idx="0">
                  <c:v>842682</c:v>
                </c:pt>
                <c:pt idx="1">
                  <c:v>815042</c:v>
                </c:pt>
                <c:pt idx="2">
                  <c:v>761034</c:v>
                </c:pt>
                <c:pt idx="3">
                  <c:v>746857</c:v>
                </c:pt>
                <c:pt idx="4">
                  <c:v>742742</c:v>
                </c:pt>
                <c:pt idx="5">
                  <c:v>741815</c:v>
                </c:pt>
                <c:pt idx="6">
                  <c:v>735673</c:v>
                </c:pt>
                <c:pt idx="7">
                  <c:v>734060</c:v>
                </c:pt>
                <c:pt idx="8">
                  <c:v>733037</c:v>
                </c:pt>
                <c:pt idx="9">
                  <c:v>732655</c:v>
                </c:pt>
                <c:pt idx="10">
                  <c:v>732459</c:v>
                </c:pt>
                <c:pt idx="11">
                  <c:v>732426</c:v>
                </c:pt>
                <c:pt idx="12">
                  <c:v>732382</c:v>
                </c:pt>
                <c:pt idx="13">
                  <c:v>732373</c:v>
                </c:pt>
                <c:pt idx="14">
                  <c:v>732373</c:v>
                </c:pt>
                <c:pt idx="15">
                  <c:v>732373</c:v>
                </c:pt>
                <c:pt idx="16">
                  <c:v>732373</c:v>
                </c:pt>
                <c:pt idx="17">
                  <c:v>732373</c:v>
                </c:pt>
                <c:pt idx="18">
                  <c:v>732353</c:v>
                </c:pt>
                <c:pt idx="19">
                  <c:v>732353</c:v>
                </c:pt>
                <c:pt idx="20">
                  <c:v>732345</c:v>
                </c:pt>
                <c:pt idx="21">
                  <c:v>732345</c:v>
                </c:pt>
                <c:pt idx="22">
                  <c:v>732345</c:v>
                </c:pt>
                <c:pt idx="23">
                  <c:v>732345</c:v>
                </c:pt>
                <c:pt idx="24">
                  <c:v>732345</c:v>
                </c:pt>
                <c:pt idx="25">
                  <c:v>732345</c:v>
                </c:pt>
                <c:pt idx="26">
                  <c:v>732345</c:v>
                </c:pt>
                <c:pt idx="27">
                  <c:v>732345</c:v>
                </c:pt>
                <c:pt idx="28">
                  <c:v>732345</c:v>
                </c:pt>
                <c:pt idx="29">
                  <c:v>732345</c:v>
                </c:pt>
                <c:pt idx="30">
                  <c:v>732345</c:v>
                </c:pt>
                <c:pt idx="31">
                  <c:v>732345</c:v>
                </c:pt>
                <c:pt idx="32">
                  <c:v>732345</c:v>
                </c:pt>
                <c:pt idx="33">
                  <c:v>732345</c:v>
                </c:pt>
                <c:pt idx="34">
                  <c:v>732345</c:v>
                </c:pt>
                <c:pt idx="35">
                  <c:v>732345</c:v>
                </c:pt>
              </c:numCache>
            </c:numRef>
          </c:val>
          <c:smooth val="false"/>
        </c:ser>
        <c:dLbls>
          <c:showLegendKey val="false"/>
          <c:showVal val="false"/>
          <c:showCatName val="false"/>
          <c:showSerName val="false"/>
          <c:showPercent val="false"/>
          <c:showBubbleSize val="false"/>
        </c:dLbls>
        <c:marker val="true"/>
        <c:smooth val="false"/>
        <c:axId val="319802901"/>
        <c:axId val="362635715"/>
      </c:lineChart>
      <c:catAx>
        <c:axId val="319802901"/>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62635715"/>
        <c:crosses val="autoZero"/>
        <c:auto val="true"/>
        <c:lblAlgn val="ctr"/>
        <c:lblOffset val="100"/>
        <c:noMultiLvlLbl val="false"/>
      </c:catAx>
      <c:valAx>
        <c:axId val="362635715"/>
        <c:scaling>
          <c:orientation val="minMax"/>
          <c:max val="910000"/>
          <c:min val="670000"/>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19802901"/>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false"/>
  <c:lang val="zh-CN"/>
  <c:roundedCorners val="false"/>
  <mc:AlternateContent xmlns:mc="http://schemas.openxmlformats.org/markup-compatibility/2006">
    <mc:Choice xmlns:c14="http://schemas.microsoft.com/office/drawing/2007/8/2/chart" Requires="c14">
      <c14:style val="102"/>
    </mc:Choice>
    <mc:Fallback>
      <c:style val="2"/>
    </mc:Fallback>
  </mc:AlternateContent>
  <c:chart>
    <c:autoTitleDeleted val="true"/>
    <c:plotArea>
      <c:layout/>
      <c:lineChart>
        <c:grouping val="standard"/>
        <c:varyColors val="false"/>
        <c:ser>
          <c:idx val="3"/>
          <c:order val="0"/>
          <c:tx>
            <c:strRef>
              <c:f>"bwaves"</c:f>
              <c:strCache>
                <c:ptCount val="1"/>
                <c:pt idx="0">
                  <c:v>bwaves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delete val="true"/>
            </c:dLbl>
            <c:dLbl>
              <c:idx val="20"/>
              <c:layout>
                <c:manualLayout>
                  <c:x val="-0.0335311572700297"/>
                  <c:y val="-0.088244766505636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[data.xlsx]part2_result!$F$118:$F$153</c:f>
              <c:numCache>
                <c:formatCode>General</c:formatCode>
                <c:ptCount val="36"/>
                <c:pt idx="0">
                  <c:v>842452</c:v>
                </c:pt>
                <c:pt idx="1">
                  <c:v>814854</c:v>
                </c:pt>
                <c:pt idx="2">
                  <c:v>760798</c:v>
                </c:pt>
                <c:pt idx="3">
                  <c:v>746639</c:v>
                </c:pt>
                <c:pt idx="4">
                  <c:v>742535</c:v>
                </c:pt>
                <c:pt idx="5">
                  <c:v>741633</c:v>
                </c:pt>
                <c:pt idx="6">
                  <c:v>735489</c:v>
                </c:pt>
                <c:pt idx="7">
                  <c:v>733873</c:v>
                </c:pt>
                <c:pt idx="8">
                  <c:v>732852</c:v>
                </c:pt>
                <c:pt idx="9">
                  <c:v>732470</c:v>
                </c:pt>
                <c:pt idx="10">
                  <c:v>732257</c:v>
                </c:pt>
                <c:pt idx="11">
                  <c:v>732237</c:v>
                </c:pt>
                <c:pt idx="12">
                  <c:v>732181</c:v>
                </c:pt>
                <c:pt idx="13">
                  <c:v>732176</c:v>
                </c:pt>
                <c:pt idx="14">
                  <c:v>732172</c:v>
                </c:pt>
                <c:pt idx="15">
                  <c:v>732172</c:v>
                </c:pt>
                <c:pt idx="16">
                  <c:v>732172</c:v>
                </c:pt>
                <c:pt idx="17">
                  <c:v>732172</c:v>
                </c:pt>
                <c:pt idx="18">
                  <c:v>732151</c:v>
                </c:pt>
                <c:pt idx="19">
                  <c:v>732151</c:v>
                </c:pt>
                <c:pt idx="20">
                  <c:v>732147</c:v>
                </c:pt>
                <c:pt idx="21">
                  <c:v>732147</c:v>
                </c:pt>
                <c:pt idx="22">
                  <c:v>732147</c:v>
                </c:pt>
                <c:pt idx="23">
                  <c:v>732147</c:v>
                </c:pt>
                <c:pt idx="24">
                  <c:v>732147</c:v>
                </c:pt>
                <c:pt idx="25">
                  <c:v>732147</c:v>
                </c:pt>
                <c:pt idx="26">
                  <c:v>732147</c:v>
                </c:pt>
                <c:pt idx="27">
                  <c:v>732147</c:v>
                </c:pt>
                <c:pt idx="28">
                  <c:v>732147</c:v>
                </c:pt>
                <c:pt idx="29">
                  <c:v>732147</c:v>
                </c:pt>
                <c:pt idx="30">
                  <c:v>732147</c:v>
                </c:pt>
                <c:pt idx="31">
                  <c:v>732147</c:v>
                </c:pt>
                <c:pt idx="32">
                  <c:v>732147</c:v>
                </c:pt>
                <c:pt idx="33">
                  <c:v>732147</c:v>
                </c:pt>
                <c:pt idx="34">
                  <c:v>732147</c:v>
                </c:pt>
                <c:pt idx="35">
                  <c:v>732147</c:v>
                </c:pt>
              </c:numCache>
            </c:numRef>
          </c:val>
          <c:smooth val="false"/>
        </c:ser>
        <c:ser>
          <c:idx val="1"/>
          <c:order val="1"/>
          <c:tx>
            <c:strRef>
              <c:f>"gcc"</c:f>
              <c:strCache>
                <c:ptCount val="1"/>
                <c:pt idx="0">
                  <c:v>gcc</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layout>
                <c:manualLayout>
                  <c:x val="-0.0309594460929772"/>
                  <c:y val="-0.172302737520129"/>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[data.xlsx]part2_result!$M$118:$M$153</c:f>
              <c:numCache>
                <c:formatCode>General</c:formatCode>
                <c:ptCount val="36"/>
                <c:pt idx="0">
                  <c:v>878465</c:v>
                </c:pt>
                <c:pt idx="1">
                  <c:v>807383</c:v>
                </c:pt>
                <c:pt idx="2">
                  <c:v>779027</c:v>
                </c:pt>
                <c:pt idx="3">
                  <c:v>755754</c:v>
                </c:pt>
                <c:pt idx="4">
                  <c:v>743024</c:v>
                </c:pt>
                <c:pt idx="5">
                  <c:v>734272</c:v>
                </c:pt>
                <c:pt idx="6">
                  <c:v>718620</c:v>
                </c:pt>
                <c:pt idx="7">
                  <c:v>709675</c:v>
                </c:pt>
                <c:pt idx="8">
                  <c:v>707395</c:v>
                </c:pt>
                <c:pt idx="9">
                  <c:v>706905</c:v>
                </c:pt>
                <c:pt idx="10">
                  <c:v>706604</c:v>
                </c:pt>
                <c:pt idx="11">
                  <c:v>706571</c:v>
                </c:pt>
                <c:pt idx="12">
                  <c:v>706559</c:v>
                </c:pt>
                <c:pt idx="13">
                  <c:v>706556</c:v>
                </c:pt>
                <c:pt idx="14">
                  <c:v>706556</c:v>
                </c:pt>
                <c:pt idx="15">
                  <c:v>706556</c:v>
                </c:pt>
                <c:pt idx="16">
                  <c:v>706553</c:v>
                </c:pt>
                <c:pt idx="17">
                  <c:v>706553</c:v>
                </c:pt>
                <c:pt idx="18">
                  <c:v>706553</c:v>
                </c:pt>
                <c:pt idx="19">
                  <c:v>706553</c:v>
                </c:pt>
                <c:pt idx="20">
                  <c:v>706553</c:v>
                </c:pt>
                <c:pt idx="21">
                  <c:v>706553</c:v>
                </c:pt>
                <c:pt idx="22">
                  <c:v>706553</c:v>
                </c:pt>
                <c:pt idx="23">
                  <c:v>706553</c:v>
                </c:pt>
                <c:pt idx="24">
                  <c:v>706553</c:v>
                </c:pt>
                <c:pt idx="25">
                  <c:v>706553</c:v>
                </c:pt>
                <c:pt idx="26">
                  <c:v>706553</c:v>
                </c:pt>
                <c:pt idx="27">
                  <c:v>706553</c:v>
                </c:pt>
                <c:pt idx="28">
                  <c:v>706553</c:v>
                </c:pt>
                <c:pt idx="29">
                  <c:v>706553</c:v>
                </c:pt>
                <c:pt idx="30">
                  <c:v>706553</c:v>
                </c:pt>
                <c:pt idx="31">
                  <c:v>706553</c:v>
                </c:pt>
                <c:pt idx="32">
                  <c:v>706553</c:v>
                </c:pt>
                <c:pt idx="33">
                  <c:v>706553</c:v>
                </c:pt>
                <c:pt idx="34">
                  <c:v>706553</c:v>
                </c:pt>
                <c:pt idx="35">
                  <c:v>706553</c:v>
                </c:pt>
              </c:numCache>
            </c:numRef>
          </c:val>
          <c:smooth val="false"/>
        </c:ser>
        <c:ser>
          <c:idx val="2"/>
          <c:order val="2"/>
          <c:tx>
            <c:strRef>
              <c:f>"mcf"</c:f>
              <c:strCache>
                <c:ptCount val="1"/>
                <c:pt idx="0">
                  <c:v>mcf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layout>
                <c:manualLayout>
                  <c:x val="-0.0567754698318497"/>
                  <c:y val="-0.09452495974235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15"/>
              <c:delete val="true"/>
            </c:dLbl>
            <c:dLbl>
              <c:idx val="16"/>
              <c:delete val="true"/>
            </c:dLbl>
            <c:dLbl>
              <c:idx val="17"/>
              <c:delete val="true"/>
            </c:dLbl>
            <c:dLbl>
              <c:idx val="18"/>
              <c:delete val="true"/>
            </c:dLbl>
            <c:dLbl>
              <c:idx val="19"/>
              <c:delete val="true"/>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[data.xlsx]part2_result!$T$118:$T$153</c:f>
              <c:numCache>
                <c:formatCode>General</c:formatCode>
                <c:ptCount val="36"/>
                <c:pt idx="0">
                  <c:v>894500</c:v>
                </c:pt>
                <c:pt idx="1">
                  <c:v>850976</c:v>
                </c:pt>
                <c:pt idx="2">
                  <c:v>805491</c:v>
                </c:pt>
                <c:pt idx="3">
                  <c:v>786395</c:v>
                </c:pt>
                <c:pt idx="4">
                  <c:v>768173</c:v>
                </c:pt>
                <c:pt idx="5">
                  <c:v>751095</c:v>
                </c:pt>
                <c:pt idx="6">
                  <c:v>746509</c:v>
                </c:pt>
                <c:pt idx="7">
                  <c:v>739552</c:v>
                </c:pt>
                <c:pt idx="8">
                  <c:v>733562</c:v>
                </c:pt>
                <c:pt idx="9">
                  <c:v>729277</c:v>
                </c:pt>
                <c:pt idx="10">
                  <c:v>725119</c:v>
                </c:pt>
                <c:pt idx="11">
                  <c:v>725121</c:v>
                </c:pt>
                <c:pt idx="12">
                  <c:v>723431</c:v>
                </c:pt>
                <c:pt idx="13">
                  <c:v>723432</c:v>
                </c:pt>
                <c:pt idx="14">
                  <c:v>723431</c:v>
                </c:pt>
                <c:pt idx="15">
                  <c:v>723431</c:v>
                </c:pt>
                <c:pt idx="16">
                  <c:v>723431</c:v>
                </c:pt>
                <c:pt idx="17">
                  <c:v>723431</c:v>
                </c:pt>
                <c:pt idx="18">
                  <c:v>723431</c:v>
                </c:pt>
                <c:pt idx="19">
                  <c:v>723431</c:v>
                </c:pt>
                <c:pt idx="20">
                  <c:v>723431</c:v>
                </c:pt>
                <c:pt idx="21">
                  <c:v>723431</c:v>
                </c:pt>
                <c:pt idx="22">
                  <c:v>723431</c:v>
                </c:pt>
                <c:pt idx="23">
                  <c:v>723431</c:v>
                </c:pt>
                <c:pt idx="24">
                  <c:v>723431</c:v>
                </c:pt>
                <c:pt idx="25">
                  <c:v>723431</c:v>
                </c:pt>
                <c:pt idx="26">
                  <c:v>723431</c:v>
                </c:pt>
                <c:pt idx="27">
                  <c:v>723431</c:v>
                </c:pt>
                <c:pt idx="28">
                  <c:v>723431</c:v>
                </c:pt>
                <c:pt idx="29">
                  <c:v>723431</c:v>
                </c:pt>
                <c:pt idx="30">
                  <c:v>723431</c:v>
                </c:pt>
                <c:pt idx="31">
                  <c:v>723431</c:v>
                </c:pt>
                <c:pt idx="32">
                  <c:v>723431</c:v>
                </c:pt>
                <c:pt idx="33">
                  <c:v>723431</c:v>
                </c:pt>
                <c:pt idx="34">
                  <c:v>723431</c:v>
                </c:pt>
                <c:pt idx="35">
                  <c:v>723431</c:v>
                </c:pt>
              </c:numCache>
            </c:numRef>
          </c:val>
          <c:smooth val="false"/>
        </c:ser>
        <c:ser>
          <c:idx val="0"/>
          <c:order val="3"/>
          <c:tx>
            <c:strRef>
              <c:f>"perlbench"</c:f>
              <c:strCache>
                <c:ptCount val="1"/>
                <c:pt idx="0">
                  <c:v>perlbench</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0"/>
              <c:delete val="true"/>
            </c:dLbl>
            <c:dLbl>
              <c:idx val="1"/>
              <c:delete val="true"/>
            </c:dLbl>
            <c:dLbl>
              <c:idx val="2"/>
              <c:delete val="true"/>
            </c:dLbl>
            <c:dLbl>
              <c:idx val="3"/>
              <c:delete val="true"/>
            </c:dLbl>
            <c:dLbl>
              <c:idx val="4"/>
              <c:delete val="true"/>
            </c:dLbl>
            <c:dLbl>
              <c:idx val="5"/>
              <c:delete val="true"/>
            </c:dLbl>
            <c:dLbl>
              <c:idx val="6"/>
              <c:delete val="true"/>
            </c:dLbl>
            <c:dLbl>
              <c:idx val="7"/>
              <c:delete val="true"/>
            </c:dLbl>
            <c:dLbl>
              <c:idx val="8"/>
              <c:delete val="true"/>
            </c:dLbl>
            <c:dLbl>
              <c:idx val="9"/>
              <c:delete val="true"/>
            </c:dLbl>
            <c:dLbl>
              <c:idx val="10"/>
              <c:delete val="true"/>
            </c:dLbl>
            <c:dLbl>
              <c:idx val="11"/>
              <c:delete val="true"/>
            </c:dLbl>
            <c:dLbl>
              <c:idx val="12"/>
              <c:delete val="true"/>
            </c:dLbl>
            <c:dLbl>
              <c:idx val="13"/>
              <c:delete val="true"/>
            </c:dLbl>
            <c:dLbl>
              <c:idx val="14"/>
              <c:delete val="true"/>
            </c:dLbl>
            <c:dLbl>
              <c:idx val="15"/>
              <c:delete val="true"/>
            </c:dLbl>
            <c:dLbl>
              <c:idx val="16"/>
              <c:delete val="true"/>
            </c:dLbl>
            <c:dLbl>
              <c:idx val="17"/>
              <c:delete val="true"/>
            </c:dLbl>
            <c:dLbl>
              <c:idx val="18"/>
              <c:delete val="true"/>
            </c:dLbl>
            <c:dLbl>
              <c:idx val="19"/>
              <c:layout>
                <c:manualLayout>
                  <c:x val="-0.0373887240356083"/>
                  <c:y val="0.0756843800322061"/>
                </c:manualLayout>
              </c:layout>
              <c:dLblPos val="r"/>
              <c:showLegendKey val="false"/>
              <c:showVal val="true"/>
              <c:showCatName val="false"/>
              <c:showSerName val="false"/>
              <c:showPercent val="false"/>
              <c:showBubbleSize val="false"/>
              <c:extLst>
                <c:ext xmlns:c15="http://schemas.microsoft.com/office/drawing/2012/chart" uri="{CE6537A1-D6FC-4f65-9D91-7224C49458BB}">
                  <c15:layout/>
                </c:ext>
              </c:extLst>
            </c:dLbl>
            <c:dLbl>
              <c:idx val="20"/>
              <c:delete val="true"/>
            </c:dLbl>
            <c:dLbl>
              <c:idx val="21"/>
              <c:delete val="true"/>
            </c:dLbl>
            <c:dLbl>
              <c:idx val="22"/>
              <c:delete val="true"/>
            </c:dLbl>
            <c:dLbl>
              <c:idx val="23"/>
              <c:delete val="true"/>
            </c:dLbl>
            <c:dLbl>
              <c:idx val="24"/>
              <c:delete val="true"/>
            </c:dLbl>
            <c:dLbl>
              <c:idx val="25"/>
              <c:delete val="true"/>
            </c:dLbl>
            <c:dLbl>
              <c:idx val="26"/>
              <c:delete val="true"/>
            </c:dLbl>
            <c:dLbl>
              <c:idx val="27"/>
              <c:delete val="true"/>
            </c:dLbl>
            <c:dLbl>
              <c:idx val="28"/>
              <c:delete val="true"/>
            </c:dLbl>
            <c:dLbl>
              <c:idx val="29"/>
              <c:delete val="true"/>
            </c:dLbl>
            <c:dLbl>
              <c:idx val="30"/>
              <c:delete val="true"/>
            </c:dLbl>
            <c:dLbl>
              <c:idx val="31"/>
              <c:delete val="true"/>
            </c:dLbl>
            <c:dLbl>
              <c:idx val="32"/>
              <c:delete val="true"/>
            </c:dLbl>
            <c:dLbl>
              <c:idx val="33"/>
              <c:delete val="true"/>
            </c:dLbl>
            <c:dLbl>
              <c:idx val="34"/>
              <c:delete val="true"/>
            </c:dLbl>
            <c:dLbl>
              <c:idx val="35"/>
              <c:delete val="true"/>
            </c:dLbl>
            <c:spPr>
              <a:noFill/>
              <a:ln>
                <a:noFill/>
              </a:ln>
              <a:effectLst/>
            </c:spPr>
            <c:txPr>
              <a:bodyPr rot="0" spcFirstLastPara="0" vertOverflow="ellipsis" vert="horz" wrap="square" lIns="38100" tIns="19050" rIns="38100" bIns="19050" anchor="ctr" anchorCtr="true"/>
              <a:lstStyle/>
              <a:p>
                <a:pPr>
                  <a:defRPr lang="en-US" sz="900" b="0" i="0" u="none" strike="noStrike" kern="1200" baseline="0">
                    <a:solidFill>
                      <a:schemeClr val="tx1">
                        <a:lumMod val="75000"/>
                        <a:lumOff val="25000"/>
                      </a:schemeClr>
                    </a:solidFill>
                    <a:latin typeface="+mn-lt"/>
                    <a:ea typeface="+mn-ea"/>
                    <a:cs typeface="+mn-cs"/>
                  </a:defRPr>
                </a:pPr>
              </a:p>
            </c:txPr>
            <c:dLblPos val="r"/>
            <c:showLegendKey val="false"/>
            <c:showVal val="false"/>
            <c:showCatName val="false"/>
            <c:showSerName val="false"/>
            <c:showPercent val="false"/>
            <c:showBubbleSize val="false"/>
            <c:showLeaderLines val="false"/>
            <c:extLst>
              <c:ext xmlns:c15="http://schemas.microsoft.com/office/drawing/2012/chart" uri="{CE6537A1-D6FC-4f65-9D91-7224C49458BB}">
                <c15:layout/>
                <c15:showLeaderLines val="true"/>
                <c15:leaderLines>
                  <c:spPr>
                    <a:ln w="9525" cap="flat" cmpd="sng" algn="ctr">
                      <a:solidFill>
                        <a:schemeClr val="tx1">
                          <a:lumMod val="35000"/>
                          <a:lumOff val="65000"/>
                        </a:schemeClr>
                      </a:solidFill>
                      <a:round/>
                    </a:ln>
                    <a:effectLst/>
                  </c:spPr>
                </c15:leaderLines>
              </c:ext>
            </c:extLst>
          </c:dLbls>
          <c:cat>
            <c:numRef>
              <c:f>[data.xlsx]part2_result!$A$1:$A$36</c:f>
              <c:numCache>
                <c:formatCode>General</c:formatCode>
                <c:ptCount val="36"/>
                <c:pt idx="0">
                  <c:v>12</c:v>
                </c:pt>
                <c:pt idx="1">
                  <c:v>13</c:v>
                </c:pt>
                <c:pt idx="2">
                  <c:v>14</c:v>
                </c:pt>
                <c:pt idx="3">
                  <c:v>15</c:v>
                </c:pt>
                <c:pt idx="4">
                  <c:v>16</c:v>
                </c:pt>
                <c:pt idx="5">
                  <c:v>17</c:v>
                </c:pt>
                <c:pt idx="6">
                  <c:v>18</c:v>
                </c:pt>
                <c:pt idx="7">
                  <c:v>19</c:v>
                </c:pt>
                <c:pt idx="8">
                  <c:v>20</c:v>
                </c:pt>
                <c:pt idx="9">
                  <c:v>21</c:v>
                </c:pt>
                <c:pt idx="10">
                  <c:v>22</c:v>
                </c:pt>
                <c:pt idx="11">
                  <c:v>23</c:v>
                </c:pt>
                <c:pt idx="12">
                  <c:v>24</c:v>
                </c:pt>
                <c:pt idx="13">
                  <c:v>25</c:v>
                </c:pt>
                <c:pt idx="14">
                  <c:v>26</c:v>
                </c:pt>
                <c:pt idx="15">
                  <c:v>27</c:v>
                </c:pt>
                <c:pt idx="16">
                  <c:v>28</c:v>
                </c:pt>
                <c:pt idx="17">
                  <c:v>29</c:v>
                </c:pt>
                <c:pt idx="18">
                  <c:v>30</c:v>
                </c:pt>
                <c:pt idx="19">
                  <c:v>31</c:v>
                </c:pt>
                <c:pt idx="20">
                  <c:v>32</c:v>
                </c:pt>
                <c:pt idx="21">
                  <c:v>33</c:v>
                </c:pt>
                <c:pt idx="22">
                  <c:v>34</c:v>
                </c:pt>
                <c:pt idx="23">
                  <c:v>35</c:v>
                </c:pt>
                <c:pt idx="24">
                  <c:v>36</c:v>
                </c:pt>
                <c:pt idx="25">
                  <c:v>37</c:v>
                </c:pt>
                <c:pt idx="26">
                  <c:v>38</c:v>
                </c:pt>
                <c:pt idx="27">
                  <c:v>39</c:v>
                </c:pt>
                <c:pt idx="28">
                  <c:v>40</c:v>
                </c:pt>
                <c:pt idx="29">
                  <c:v>41</c:v>
                </c:pt>
                <c:pt idx="30">
                  <c:v>42</c:v>
                </c:pt>
                <c:pt idx="31">
                  <c:v>43</c:v>
                </c:pt>
                <c:pt idx="32">
                  <c:v>44</c:v>
                </c:pt>
                <c:pt idx="33">
                  <c:v>45</c:v>
                </c:pt>
                <c:pt idx="34">
                  <c:v>46</c:v>
                </c:pt>
                <c:pt idx="35">
                  <c:v>47</c:v>
                </c:pt>
              </c:numCache>
            </c:numRef>
          </c:cat>
          <c:val>
            <c:numRef>
              <c:f>[data.xlsx]part2_result!$AA$117:$AA$152</c:f>
              <c:numCache>
                <c:formatCode>General</c:formatCode>
                <c:ptCount val="36"/>
                <c:pt idx="0">
                  <c:v>879820</c:v>
                </c:pt>
                <c:pt idx="1">
                  <c:v>834998</c:v>
                </c:pt>
                <c:pt idx="2">
                  <c:v>789396</c:v>
                </c:pt>
                <c:pt idx="3">
                  <c:v>753204</c:v>
                </c:pt>
                <c:pt idx="4">
                  <c:v>739156</c:v>
                </c:pt>
                <c:pt idx="5">
                  <c:v>727590</c:v>
                </c:pt>
                <c:pt idx="6">
                  <c:v>720021</c:v>
                </c:pt>
                <c:pt idx="7">
                  <c:v>710059</c:v>
                </c:pt>
                <c:pt idx="8">
                  <c:v>707594</c:v>
                </c:pt>
                <c:pt idx="9">
                  <c:v>706003</c:v>
                </c:pt>
                <c:pt idx="10">
                  <c:v>704045</c:v>
                </c:pt>
                <c:pt idx="11">
                  <c:v>703682</c:v>
                </c:pt>
                <c:pt idx="12">
                  <c:v>703622</c:v>
                </c:pt>
                <c:pt idx="13">
                  <c:v>703617</c:v>
                </c:pt>
                <c:pt idx="14">
                  <c:v>703612</c:v>
                </c:pt>
                <c:pt idx="15">
                  <c:v>703612</c:v>
                </c:pt>
                <c:pt idx="16">
                  <c:v>703612</c:v>
                </c:pt>
                <c:pt idx="17">
                  <c:v>703612</c:v>
                </c:pt>
                <c:pt idx="18">
                  <c:v>703612</c:v>
                </c:pt>
                <c:pt idx="19">
                  <c:v>703606</c:v>
                </c:pt>
                <c:pt idx="20">
                  <c:v>703606</c:v>
                </c:pt>
                <c:pt idx="21">
                  <c:v>703606</c:v>
                </c:pt>
                <c:pt idx="22">
                  <c:v>703606</c:v>
                </c:pt>
                <c:pt idx="23">
                  <c:v>703606</c:v>
                </c:pt>
                <c:pt idx="24">
                  <c:v>703606</c:v>
                </c:pt>
                <c:pt idx="25">
                  <c:v>703606</c:v>
                </c:pt>
                <c:pt idx="26">
                  <c:v>703606</c:v>
                </c:pt>
                <c:pt idx="27">
                  <c:v>703606</c:v>
                </c:pt>
                <c:pt idx="28">
                  <c:v>703606</c:v>
                </c:pt>
                <c:pt idx="29">
                  <c:v>703606</c:v>
                </c:pt>
                <c:pt idx="30">
                  <c:v>703606</c:v>
                </c:pt>
                <c:pt idx="31">
                  <c:v>703606</c:v>
                </c:pt>
                <c:pt idx="32">
                  <c:v>703606</c:v>
                </c:pt>
                <c:pt idx="33">
                  <c:v>703606</c:v>
                </c:pt>
                <c:pt idx="34">
                  <c:v>703606</c:v>
                </c:pt>
                <c:pt idx="35">
                  <c:v>703606</c:v>
                </c:pt>
              </c:numCache>
            </c:numRef>
          </c:val>
          <c:smooth val="false"/>
        </c:ser>
        <c:dLbls>
          <c:showLegendKey val="false"/>
          <c:showVal val="false"/>
          <c:showCatName val="false"/>
          <c:showSerName val="false"/>
          <c:showPercent val="false"/>
          <c:showBubbleSize val="false"/>
        </c:dLbls>
        <c:marker val="true"/>
        <c:smooth val="false"/>
        <c:axId val="319802901"/>
        <c:axId val="362635715"/>
      </c:lineChart>
      <c:catAx>
        <c:axId val="319802901"/>
        <c:scaling>
          <c:orientation val="minMax"/>
        </c:scaling>
        <c:delete val="false"/>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62635715"/>
        <c:crosses val="autoZero"/>
        <c:auto val="true"/>
        <c:lblAlgn val="ctr"/>
        <c:lblOffset val="100"/>
        <c:noMultiLvlLbl val="false"/>
      </c:catAx>
      <c:valAx>
        <c:axId val="362635715"/>
        <c:scaling>
          <c:orientation val="minMax"/>
          <c:max val="910000"/>
          <c:min val="670000"/>
        </c:scaling>
        <c:delete val="false"/>
        <c:axPos val="l"/>
        <c:majorGridlines>
          <c:spPr>
            <a:ln w="9525" cap="flat" cmpd="sng" algn="ctr">
              <a:solidFill>
                <a:schemeClr val="tx1">
                  <a:lumMod val="15000"/>
                  <a:lumOff val="85000"/>
                </a:schemeClr>
              </a:solidFill>
              <a:round/>
            </a:ln>
            <a:effectLst/>
          </c:spPr>
        </c:majorGridlines>
        <c:numFmt formatCode="General" sourceLinked="true"/>
        <c:majorTickMark val="none"/>
        <c:minorTickMark val="none"/>
        <c:tickLblPos val="nextTo"/>
        <c:spPr>
          <a:noFill/>
          <a:ln>
            <a:noFill/>
          </a:ln>
          <a:effectLst/>
        </c:spPr>
        <c:txPr>
          <a:bodyPr rot="-6000000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crossAx val="319802901"/>
        <c:crosses val="autoZero"/>
        <c:crossBetween val="between"/>
      </c:valAx>
      <c:spPr>
        <a:noFill/>
        <a:ln>
          <a:noFill/>
        </a:ln>
        <a:effectLst/>
      </c:spPr>
    </c:plotArea>
    <c:legend>
      <c:legendPos val="b"/>
      <c:layout/>
      <c:overlay val="false"/>
      <c:spPr>
        <a:noFill/>
        <a:ln>
          <a:noFill/>
        </a:ln>
        <a:effectLst/>
      </c:spPr>
      <c:txPr>
        <a:bodyPr rot="0" spcFirstLastPara="0" vertOverflow="ellipsis" vert="horz" wrap="square" anchor="ctr" anchorCtr="true"/>
        <a:lstStyle/>
        <a:p>
          <a:pPr>
            <a:defRPr lang="en-US" sz="900" b="0" i="0" u="none" strike="noStrike" kern="1200" baseline="0">
              <a:solidFill>
                <a:schemeClr val="tx1">
                  <a:lumMod val="65000"/>
                  <a:lumOff val="35000"/>
                </a:schemeClr>
              </a:solidFill>
              <a:latin typeface="+mn-lt"/>
              <a:ea typeface="+mn-ea"/>
              <a:cs typeface="+mn-cs"/>
            </a:defRPr>
          </a:pPr>
        </a:p>
      </c:txPr>
    </c:legend>
    <c:plotVisOnly val="true"/>
    <c:dispBlanksAs val="gap"/>
    <c:showDLblsOverMax val="false"/>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false"/>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true">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305</Words>
  <Characters>1367</Characters>
  <Lines>0</Lines>
  <Paragraphs>0</Paragraphs>
  <TotalTime>5</TotalTime>
  <ScaleCrop>false</ScaleCrop>
  <LinksUpToDate>false</LinksUpToDate>
  <CharactersWithSpaces>1635</CharactersWithSpaces>
  <Application>WPS Office_11.1.0.9662_F1E327BC-269C-435d-A152-05C5408002CA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2021-04-17T23:48:00Z</dcterms:created>
  <dc:creator>cx872</dc:creator>
  <cp:lastModifiedBy>cx872</cp:lastModifiedBy>
  <dcterms:modified xsi:type="dcterms:W3CDTF">2021-04-18T19:15:21Z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1033-11.1.0.9662</vt:lpwstr>
  </property>
</Properties>
</file>