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82c8c300fa4ea34252122383630716f2ed21d1"/>
    <w:p>
      <w:pPr>
        <w:pStyle w:val="Heading1"/>
      </w:pPr>
      <w:r>
        <w:t xml:space="preserve">Business Case — 2026 Alma Security CSF Assessment</w:t>
      </w:r>
    </w:p>
    <w:p>
      <w:pPr>
        <w:pStyle w:val="FirstParagraph"/>
      </w:pPr>
      <w:r>
        <w:rPr>
          <w:b/>
          <w:bCs/>
        </w:rPr>
        <w:t xml:space="preserve">Document date:</w:t>
      </w:r>
      <w:r>
        <w:t xml:space="preserve"> </w:t>
      </w:r>
      <w:r>
        <w:t xml:space="preserve">December 2025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Steve Mercer, Director, Internal Audit</w:t>
      </w:r>
      <w:r>
        <w:t xml:space="preserve"> </w:t>
      </w:r>
      <w:r>
        <w:rPr>
          <w:b/>
          <w:bCs/>
        </w:rPr>
        <w:t xml:space="preserve">Executive sponsor:</w:t>
      </w:r>
      <w:r>
        <w:t xml:space="preserve"> </w:t>
      </w:r>
      <w:r>
        <w:t xml:space="preserve">Priya Raman, Audit Committee Chair</w:t>
      </w:r>
      <w:r>
        <w:t xml:space="preserve"> </w:t>
      </w:r>
      <w:r>
        <w:rPr>
          <w:b/>
          <w:bCs/>
        </w:rPr>
        <w:t xml:space="preserve">Management sponsor:</w:t>
      </w:r>
      <w:r>
        <w:t xml:space="preserve"> </w:t>
      </w:r>
      <w:r>
        <w:t xml:space="preserve">Gerry Callahan, CISO</w:t>
      </w:r>
      <w:r>
        <w:t xml:space="preserve"> </w:t>
      </w:r>
      <w:r>
        <w:rPr>
          <w:b/>
          <w:bCs/>
        </w:rPr>
        <w:t xml:space="preserve">Decision body:</w:t>
      </w:r>
      <w:r>
        <w:t xml:space="preserve"> </w:t>
      </w:r>
      <w:r>
        <w:t xml:space="preserve">Audit Committee of the Board</w:t>
      </w:r>
    </w:p>
    <w:p>
      <w:pPr>
        <w:pStyle w:val="BlockText"/>
      </w:pPr>
      <w:r>
        <w:t xml:space="preserve">This is a fictional artifact created for educational purposes by Simply Cyber Academy. Canonical facts: see</w:t>
      </w:r>
      <w:r>
        <w:t xml:space="preserve"> </w:t>
      </w:r>
      <w:r>
        <w:rPr>
          <w:rStyle w:val="VerbatimChar"/>
        </w:rPr>
        <w:t xml:space="preserve">ASSESSMENT_CATALOG/0_Methodology/Alma-Fact-Sheet.md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he-ask"/>
    <w:p>
      <w:pPr>
        <w:pStyle w:val="Heading2"/>
      </w:pPr>
      <w:r>
        <w:t xml:space="preserve">1. The Ask</w:t>
      </w:r>
    </w:p>
    <w:p>
      <w:pPr>
        <w:pStyle w:val="FirstParagraph"/>
      </w:pPr>
      <w:r>
        <w:t xml:space="preserve">The Audit Committee is asked to</w:t>
      </w:r>
      <w:r>
        <w:t xml:space="preserve"> </w:t>
      </w:r>
      <w:r>
        <w:rPr>
          <w:b/>
          <w:bCs/>
        </w:rPr>
        <w:t xml:space="preserve">approve a recurring annual NIST CSF 2.0 assessment of Alma Security’s cybersecurity program, executed quarterly by Internal Audit, at a FY2026 cost of $142,000</w:t>
      </w:r>
      <w:r>
        <w:t xml:space="preserve">, with first fieldwork beginning January 1, 2026 and the first report (IA-2026-001) issued by March 20, 2026.</w:t>
      </w:r>
    </w:p>
    <w:bookmarkEnd w:id="9"/>
    <w:bookmarkStart w:id="10" w:name="why-now"/>
    <w:p>
      <w:pPr>
        <w:pStyle w:val="Heading2"/>
      </w:pPr>
      <w:r>
        <w:t xml:space="preserve">2. Why Now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B governance conditions (Feb 2025).</w:t>
      </w:r>
      <w:r>
        <w:t xml:space="preserve"> </w:t>
      </w:r>
      <w:r>
        <w:t xml:space="preserve">The financing terms require a standing Internal Audit function and periodic independent evaluation of the security program. This assessment is how that obligation is met for cybersecurity.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Post-incident credibility.</w:t>
      </w:r>
      <w:r>
        <w:t xml:space="preserve"> </w:t>
      </w:r>
      <w:r>
        <w:t xml:space="preserve">After the two 2024 incidents (INC-2024-01 S3 exposure; INC-2024-02 SSH key compromise), management rebuilt the security program under a new CISO. The board currently has</w:t>
      </w:r>
      <w:r>
        <w:t xml:space="preserve"> </w:t>
      </w:r>
      <w:r>
        <w:rPr>
          <w:b/>
          <w:bCs/>
        </w:rPr>
        <w:t xml:space="preserve">no independent evidence</w:t>
      </w:r>
      <w:r>
        <w:t xml:space="preserve"> </w:t>
      </w:r>
      <w:r>
        <w:t xml:space="preserve">of whether that rebuild works — only management’s own KPI reporting.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sales and the Apple Passkeys integration (June 2026).</w:t>
      </w:r>
      <w:r>
        <w:t xml:space="preserve"> </w:t>
      </w:r>
      <w:r>
        <w:t xml:space="preserve">Enterprise customers and the Passkeys partnership both demand demonstrable security maturity. An assessed CSF profile with quarterly trend data is directly usable in customer due-diligence responses.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 recovery is measurable only if independently scored.</w:t>
      </w:r>
      <w:r>
        <w:t xml:space="preserve"> </w:t>
      </w:r>
      <w:r>
        <w:t xml:space="preserve">Public trust (goal: 90%+ by January 2027) is Alma’s most exposed metric; independently assessed progress is more credible than self-attestation.</w:t>
      </w:r>
    </w:p>
    <w:bookmarkEnd w:id="10"/>
    <w:bookmarkStart w:id="12" w:name="scope"/>
    <w:p>
      <w:pPr>
        <w:pStyle w:val="Heading2"/>
      </w:pPr>
      <w:r>
        <w:t xml:space="preserve">3.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NIST CSF 2.0, all six functions (GV, ID, PR, DE, RS, RC).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Population:</w:t>
      </w:r>
      <w:r>
        <w:t xml:space="preserve"> </w:t>
      </w:r>
      <w:r>
        <w:t xml:space="preserve">the 38 in-scope control implementations in</w:t>
      </w:r>
      <w:r>
        <w:t xml:space="preserve"> </w:t>
      </w:r>
      <w:r>
        <w:rPr>
          <w:rStyle w:val="VerbatimChar"/>
        </w:rPr>
        <w:t xml:space="preserve">alma-controls.csv</w:t>
      </w:r>
      <w:r>
        <w:t xml:space="preserve"> </w:t>
      </w:r>
      <w:r>
        <w:t xml:space="preserve">(40 assessed implementations in Q1), spanning AWS production/staging, the Redwood City Windows domain, and corporate SaaS.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Cadence:</w:t>
      </w:r>
      <w:r>
        <w:t xml:space="preserve"> </w:t>
      </w:r>
      <w:r>
        <w:t xml:space="preserve">quarterly scoring cycles across CY2026; Q1 fieldwork Jan 1 – Mar 10, 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Examine / Interview / Test per the</w:t>
      </w:r>
      <w:r>
        <w:t xml:space="preserve"> </w:t>
      </w:r>
      <w:hyperlink r:id="rId11">
        <w:r>
          <w:rPr>
            <w:rStyle w:val="Hyperlink"/>
          </w:rPr>
          <w:t xml:space="preserve">Scoring Rubric and Methodology</w:t>
        </w:r>
      </w:hyperlink>
      <w:r>
        <w:t xml:space="preserve">, scored on the 0–10 rubric against board-approved targets.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 of scope:</w:t>
      </w:r>
      <w:r>
        <w:t xml:space="preserve"> </w:t>
      </w:r>
      <w:r>
        <w:t xml:space="preserve">financial reporting controls, satellite co-working spaces, customer-side product configuration.</w:t>
      </w:r>
    </w:p>
    <w:bookmarkEnd w:id="12"/>
    <w:bookmarkStart w:id="13" w:name="cost"/>
    <w:p>
      <w:pPr>
        <w:pStyle w:val="Heading2"/>
      </w:pPr>
      <w:r>
        <w:t xml:space="preserve">4.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FY2026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Audit staff allocation (Mercer 0.35 FTE, Garza 0.50 FTE)</w:t>
            </w:r>
          </w:p>
        </w:tc>
        <w:tc>
          <w:tcPr/>
          <w:p>
            <w:pPr>
              <w:pStyle w:val="Compact"/>
            </w:pPr>
            <w:r>
              <w:t xml:space="preserve">$96,000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technical testing support (sampling-based re-performance, Q2 and Q4)</w:t>
            </w:r>
          </w:p>
        </w:tc>
        <w:tc>
          <w:tcPr/>
          <w:p>
            <w:pPr>
              <w:pStyle w:val="Compact"/>
            </w:pPr>
            <w:r>
              <w:t xml:space="preserve">$28,000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QA review (D. Whitfield, per-report)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 and evidence management (ServiceNow module, workpapers)</w:t>
            </w:r>
          </w:p>
        </w:tc>
        <w:tc>
          <w:tcPr/>
          <w:p>
            <w:pPr>
              <w:pStyle w:val="Compact"/>
            </w:pPr>
            <w:r>
              <w:t xml:space="preserve">$6,000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$142,000</w:t>
            </w:r>
          </w:p>
        </w:tc>
      </w:tr>
    </w:tbl>
    <w:p>
      <w:pPr>
        <w:pStyle w:val="BodyText"/>
      </w:pPr>
      <w:r>
        <w:t xml:space="preserve">For context: $142K is 2.7% of the FY2026 security budget ($5.3M) and roughly 0.75% of the revenue at risk in a repeat trust incident (FY2024’s incidents coincided with churn that cost an estimated $2.1M in ARR).</w:t>
      </w:r>
    </w:p>
    <w:bookmarkEnd w:id="13"/>
    <w:bookmarkStart w:id="14" w:name="alternatives-considered"/>
    <w:p>
      <w:pPr>
        <w:pStyle w:val="Heading2"/>
      </w:pPr>
      <w:r>
        <w:t xml:space="preserve">5. Alternatives Considered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firm, annual point-in-time assessment</w:t>
            </w:r>
          </w:p>
        </w:tc>
        <w:tc>
          <w:tcPr/>
          <w:p>
            <w:pPr>
              <w:pStyle w:val="Compact"/>
            </w:pPr>
            <w:r>
              <w:t xml:space="preserve">$180–250K/yr</w:t>
            </w:r>
          </w:p>
        </w:tc>
        <w:tc>
          <w:tcPr/>
          <w:p>
            <w:pPr>
              <w:pStyle w:val="Compact"/>
            </w:pPr>
            <w:r>
              <w:t xml:space="preserve">No quarterly cadence; no internal capability built; exceeds Series B intent (standing IA function)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Self-assessment by the security team</w:t>
            </w:r>
          </w:p>
        </w:tc>
        <w:tc>
          <w:tcPr/>
          <w:p>
            <w:pPr>
              <w:pStyle w:val="Compact"/>
            </w:pPr>
            <w:r>
              <w:t xml:space="preserve">~$40K effort</w:t>
            </w:r>
          </w:p>
        </w:tc>
        <w:tc>
          <w:tcPr/>
          <w:p>
            <w:pPr>
              <w:pStyle w:val="Compact"/>
            </w:pPr>
            <w:r>
              <w:t xml:space="preserve">Fails independence — the team would grade its own rebuild; unusable for board assurance and customer due diligence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 to 2027 (post-SOC 2)</w:t>
            </w:r>
          </w:p>
        </w:tc>
        <w:tc>
          <w:tcPr/>
          <w:p>
            <w:pPr>
              <w:pStyle w:val="Compact"/>
            </w:pPr>
            <w:r>
              <w:t xml:space="preserve">$0 now</w:t>
            </w:r>
          </w:p>
        </w:tc>
        <w:tc>
          <w:tcPr/>
          <w:p>
            <w:pPr>
              <w:pStyle w:val="Compact"/>
            </w:pPr>
            <w:r>
              <w:t xml:space="preserve">Leaves the board without independent security evidence through the Passkeys launch and Europe expansion — the highest-exposure year in company history</w:t>
            </w:r>
          </w:p>
        </w:tc>
      </w:tr>
    </w:tbl>
    <w:bookmarkEnd w:id="14"/>
    <w:bookmarkStart w:id="15" w:name="benefits-and-success-measures"/>
    <w:p>
      <w:pPr>
        <w:pStyle w:val="Heading2"/>
      </w:pPr>
      <w:r>
        <w:t xml:space="preserve">6. Benefits and Success Measures</w:t>
      </w:r>
    </w:p>
    <w:p>
      <w:pPr>
        <w:pStyle w:val="Compact"/>
        <w:numPr>
          <w:ilvl w:val="0"/>
          <w:numId w:val="1003"/>
        </w:numPr>
      </w:pPr>
      <w:r>
        <w:t xml:space="preserve">Independent, quarterly, board-reported scoring of the security program against explicit targets (first cycle: overall target 5.0 — Minimally Acceptable).</w:t>
      </w:r>
    </w:p>
    <w:p>
      <w:pPr>
        <w:pStyle w:val="Compact"/>
        <w:numPr>
          <w:ilvl w:val="0"/>
          <w:numId w:val="1003"/>
        </w:numPr>
      </w:pPr>
      <w:r>
        <w:t xml:space="preserve">A findings pipeline with management-owned action plans and tracked remediation (High findings remediated within 90 days).</w:t>
      </w:r>
    </w:p>
    <w:p>
      <w:pPr>
        <w:pStyle w:val="Compact"/>
        <w:numPr>
          <w:ilvl w:val="0"/>
          <w:numId w:val="1003"/>
        </w:numPr>
      </w:pPr>
      <w:r>
        <w:t xml:space="preserve">Reusable assurance artifact for enterprise due diligence and the Passkeys partner review.</w:t>
      </w:r>
    </w:p>
    <w:p>
      <w:pPr>
        <w:pStyle w:val="Compact"/>
        <w:numPr>
          <w:ilvl w:val="0"/>
          <w:numId w:val="1003"/>
        </w:numPr>
      </w:pPr>
      <w:r>
        <w:t xml:space="preserve">Trend evidence for the trust-recovery narrative (TTD 81h → 9h already; target &lt;4 min by Jan 2027).</w:t>
      </w:r>
    </w:p>
    <w:bookmarkEnd w:id="15"/>
    <w:bookmarkStart w:id="17" w:name="risks-of-the-assessment-itself"/>
    <w:p>
      <w:pPr>
        <w:pStyle w:val="Heading2"/>
      </w:pPr>
      <w:r>
        <w:t xml:space="preserve">7. Risks of the Assessment Itself</w:t>
      </w:r>
    </w:p>
    <w:p>
      <w:pPr>
        <w:pStyle w:val="FirstParagraph"/>
      </w:pPr>
      <w:r>
        <w:t xml:space="preserve">Assessment fatigue on a 15-person security team (mitigated by sampling and quarterly spread); scope creep into SOC 2 preparation (mitigated by the scope statement); independence impairment (mitigated by the safeguards in the</w:t>
      </w:r>
      <w:r>
        <w:t xml:space="preserve"> </w:t>
      </w:r>
      <w:hyperlink r:id="rId16">
        <w:r>
          <w:rPr>
            <w:rStyle w:val="Hyperlink"/>
          </w:rPr>
          <w:t xml:space="preserve">Independence Statement</w:t>
        </w:r>
      </w:hyperlink>
      <w:r>
        <w:t xml:space="preserve">).</w:t>
      </w:r>
    </w:p>
    <w:bookmarkEnd w:id="17"/>
    <w:bookmarkStart w:id="18" w:name="decision-requested"/>
    <w:p>
      <w:pPr>
        <w:pStyle w:val="Heading2"/>
      </w:pPr>
      <w:r>
        <w:t xml:space="preserve">8. Decision Requested</w:t>
      </w:r>
    </w:p>
    <w:p>
      <w:pPr>
        <w:pStyle w:val="FirstParagraph"/>
      </w:pPr>
      <w:r>
        <w:t xml:space="preserve">The Audit Committee is asked to vote to: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the 2026 Alma Security CSF Assessment as scoped (§3) and budgeted (§4).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Adopt</w:t>
      </w:r>
      <w:r>
        <w:t xml:space="preserve"> </w:t>
      </w:r>
      <w:r>
        <w:t xml:space="preserve">the 0–10 scoring rubric and methodology as the assessment standard.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</w:t>
      </w:r>
      <w:r>
        <w:t xml:space="preserve"> </w:t>
      </w:r>
      <w:r>
        <w:t xml:space="preserve">management to remediate High-rated findings within 90 days of report issuance, with status reported at each committee meeting.</w:t>
      </w:r>
    </w:p>
    <w:p>
      <w:pPr>
        <w:pStyle w:val="FirstParagraph"/>
      </w:pPr>
      <w:r>
        <w:rPr>
          <w:i/>
          <w:iCs/>
        </w:rPr>
        <w:t xml:space="preserve">Requested approval date: December 18, 2025 committee meeting.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0_Methodology/Scoring-Rubric-and-Methodology.md" TargetMode="External" /><Relationship Type="http://schemas.openxmlformats.org/officeDocument/2006/relationships/hyperlink" Id="rId16" Target="../0_Methodology/Scoring-Rubric-and-Methodology.md#6-independence-stat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0_Methodology/Scoring-Rubric-and-Methodology.md" TargetMode="External" /><Relationship Type="http://schemas.openxmlformats.org/officeDocument/2006/relationships/hyperlink" Id="rId16" Target="../0_Methodology/Scoring-Rubric-and-Methodology.md#6-independence-stat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2026-07-02T21:46:24Z</dcterms:created>
  <dcterms:modified xsi:type="dcterms:W3CDTF">2026-07-02T21:46:24Z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