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&lt;Pre-step information&gt;</w:t>
      </w:r>
    </w:p>
    <w:p w14:paraId="2DCB3043" w14:textId="56553B05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organisms</w:t>
      </w:r>
      <w:r w:rsidRPr="001408C4">
        <w:rPr>
          <w:rFonts w:ascii="Garuda" w:hAnsi="Garuda"/>
          <w:color w:val="7030A0"/>
        </w:rPr>
        <w:t>}</w:t>
      </w:r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 xml:space="preserve">{manual sequence </w:t>
      </w:r>
      <w:proofErr w:type="spellStart"/>
      <w:r w:rsidRPr="001408C4">
        <w:rPr>
          <w:rFonts w:ascii="Garuda" w:hAnsi="Garuda"/>
          <w:color w:val="7030A0"/>
        </w:rPr>
        <w:t>alignment|</w:t>
      </w:r>
      <w:r w:rsidRPr="001408C4">
        <w:rPr>
          <w:rFonts w:ascii="Garuda" w:hAnsi="Garuda"/>
          <w:color w:val="006600"/>
        </w:rPr>
        <w:t>stage</w:t>
      </w:r>
      <w:proofErr w:type="spellEnd"/>
      <w:r w:rsidRPr="001408C4">
        <w:rPr>
          <w:rFonts w:ascii="Garuda" w:hAnsi="Garuda"/>
          <w:color w:val="006600"/>
        </w:rPr>
        <w:t>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</w:t>
      </w:r>
      <w:proofErr w:type="gramStart"/>
      <w:r w:rsidRPr="001408C4">
        <w:rPr>
          <w:rFonts w:ascii="Garuda" w:hAnsi="Garuda"/>
          <w:color w:val="006600"/>
        </w:rPr>
        <w:t>template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>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 xml:space="preserve">|template </w:t>
      </w:r>
      <w:proofErr w:type="gramStart"/>
      <w:r w:rsidRPr="001408C4">
        <w:rPr>
          <w:rFonts w:ascii="Garuda" w:hAnsi="Garuda"/>
          <w:color w:val="006600"/>
        </w:rPr>
        <w:t>structure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 xml:space="preserve">{BioLuminate </w:t>
      </w:r>
      <w:proofErr w:type="spellStart"/>
      <w:r w:rsidRPr="001408C4">
        <w:rPr>
          <w:rFonts w:ascii="Garuda" w:hAnsi="Garuda"/>
          <w:color w:val="7030A0"/>
        </w:rPr>
        <w:t>package|</w:t>
      </w:r>
      <w:r w:rsidRPr="001408C4">
        <w:rPr>
          <w:rFonts w:ascii="Garuda" w:hAnsi="Garuda"/>
          <w:color w:val="006600"/>
        </w:rPr>
        <w:t>software</w:t>
      </w:r>
      <w:proofErr w:type="spellEnd"/>
      <w:r w:rsidRPr="001408C4">
        <w:rPr>
          <w:rFonts w:ascii="Garuda" w:hAnsi="Garuda"/>
          <w:color w:val="006600"/>
        </w:rPr>
        <w:t xml:space="preserve">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3ED71FD5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3D1034B0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="008B7D15">
        <w:rPr>
          <w:rFonts w:cstheme="minorHAnsi"/>
          <w:color w:val="0070C0"/>
        </w:rPr>
        <w:t>while</w:t>
      </w:r>
      <w:r w:rsidRPr="001408C4">
        <w:rPr>
          <w:rFonts w:cstheme="minorHAnsi"/>
          <w:color w:val="0070C0"/>
        </w:rPr>
        <w:t>|</w:t>
      </w:r>
      <w:r w:rsidR="008B7D15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r w:rsidR="003D7BD9" w:rsidRPr="001408C4">
        <w:rPr>
          <w:rFonts w:cstheme="minorHAnsi"/>
          <w:color w:val="7030A0"/>
        </w:rPr>
        <w:t>|</w:t>
      </w:r>
      <w:r w:rsidR="008B7D15">
        <w:rPr>
          <w:rFonts w:cstheme="minorHAnsi"/>
          <w:color w:val="7030A0"/>
        </w:rPr>
        <w:t>7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2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proofErr w:type="gramStart"/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proofErr w:type="gramEnd"/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Iterate over &lt;</w:t>
      </w:r>
      <w:r w:rsidR="008B7D15">
        <w:rPr>
          <w:rFonts w:cstheme="minorHAnsi"/>
          <w:color w:val="0070C0"/>
        </w:rPr>
        <w:t>+</w:t>
      </w:r>
      <w:r w:rsidR="009110ED" w:rsidRPr="001408C4">
        <w:rPr>
          <w:rFonts w:cstheme="minorHAnsi"/>
        </w:rPr>
        <w:t>|</w:t>
      </w:r>
      <w:r w:rsidR="008B7D15">
        <w:rPr>
          <w:rFonts w:cstheme="minorHAnsi"/>
          <w:color w:val="7030A0"/>
        </w:rPr>
        <w:t>1</w:t>
      </w:r>
      <w:r w:rsidR="009110ED"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3"/>
      </w:r>
      <w:r w:rsidR="002530E7" w:rsidRPr="001408C4">
        <w:rPr>
          <w:rFonts w:cstheme="minorHAnsi"/>
        </w:rPr>
        <w:t>.</w:t>
      </w:r>
    </w:p>
    <w:p w14:paraId="13AA7D49" w14:textId="49F2C3AC" w:rsidR="00FD6583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if|</w:t>
      </w:r>
      <w:r w:rsidR="004D4830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E0667">
        <w:rPr>
          <w:rFonts w:cstheme="minorHAnsi"/>
          <w:color w:val="002060"/>
        </w:rPr>
        <w:t>l</w:t>
      </w:r>
      <w:r w:rsidR="00EC3103">
        <w:rPr>
          <w:rFonts w:cstheme="minorHAnsi"/>
          <w:color w:val="002060"/>
        </w:rPr>
        <w:t>te</w:t>
      </w:r>
      <w:r w:rsidRPr="001408C4">
        <w:rPr>
          <w:rFonts w:cstheme="minorHAnsi"/>
          <w:color w:val="7030A0"/>
        </w:rPr>
        <w:t>|</w:t>
      </w:r>
      <w:r w:rsidR="004D4830">
        <w:rPr>
          <w:rFonts w:cstheme="minorHAnsi"/>
          <w:color w:val="7030A0"/>
        </w:rPr>
        <w:t>7</w:t>
      </w:r>
      <w:r w:rsidRPr="001408C4">
        <w:rPr>
          <w:rFonts w:cstheme="minorHAnsi"/>
        </w:rPr>
        <w:t xml:space="preserve"> &gt;</w:t>
      </w:r>
      <w:r w:rsidR="00F55DDD">
        <w:rPr>
          <w:rStyle w:val="FootnoteReference"/>
          <w:rFonts w:cstheme="minorHAnsi"/>
        </w:rPr>
        <w:footnoteReference w:id="4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68A29A41" w14:textId="45850AFE" w:rsidR="00E249EF" w:rsidRDefault="00E249EF" w:rsidP="00E249EF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proofErr w:type="spellStart"/>
      <w:r w:rsidRPr="001408C4">
        <w:rPr>
          <w:rFonts w:cstheme="minorHAnsi"/>
          <w:color w:val="0070C0"/>
        </w:rPr>
        <w:t>if|</w:t>
      </w:r>
      <w:r w:rsidR="00E90A12">
        <w:rPr>
          <w:rFonts w:cstheme="minorHAnsi"/>
          <w:color w:val="0C7E37"/>
        </w:rPr>
        <w:t>pH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002060"/>
        </w:rPr>
        <w:t>between</w:t>
      </w:r>
      <w:proofErr w:type="spellEnd"/>
      <w:proofErr w:type="gramStart"/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7030A0"/>
        </w:rPr>
        <w:t>8-12]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5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6EBD965F" w14:textId="4A627DA9" w:rsidR="00E249EF" w:rsidRPr="002E3E26" w:rsidRDefault="009C2EA6" w:rsidP="002E3E26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>else</w:t>
      </w:r>
      <w:r w:rsidRPr="001408C4">
        <w:rPr>
          <w:rFonts w:cstheme="minorHAnsi"/>
        </w:rPr>
        <w:t>&gt;</w:t>
      </w:r>
      <w:r w:rsidR="002E3E26"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, </w:t>
      </w:r>
      <w:r w:rsidRPr="001408C4">
        <w:rPr>
          <w:rFonts w:cstheme="minorHAnsi"/>
        </w:rPr>
        <w:t xml:space="preserve">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 xml:space="preserve">|(minimization)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 xml:space="preserve">}. </w:t>
      </w:r>
      <w:r w:rsidRPr="001408C4">
        <w:rPr>
          <w:rFonts w:cstheme="minorHAnsi"/>
        </w:rPr>
        <w:lastRenderedPageBreak/>
        <w:t>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Pr="001408C4">
        <w:rPr>
          <w:rFonts w:cstheme="minorHAnsi"/>
          <w:color w:val="0C7E37"/>
        </w:rPr>
        <w:t>(optimization) target</w:t>
      </w:r>
      <w:r w:rsidRPr="001408C4">
        <w:rPr>
          <w:rFonts w:cstheme="minorHAnsi"/>
        </w:rPr>
        <w:t>}.</w:t>
      </w:r>
    </w:p>
    <w:p w14:paraId="4C649EB4" w14:textId="6D6D4EA6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E90A12">
        <w:rPr>
          <w:rFonts w:cstheme="minorHAnsi"/>
          <w:color w:val="0C7E37"/>
        </w:rPr>
        <w:t>pH</w:t>
      </w:r>
      <w:proofErr w:type="spellEnd"/>
      <w:proofErr w:type="gramStart"/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proofErr w:type="gramEnd"/>
      <w:r w:rsidR="00E90A12">
        <w:rPr>
          <w:rFonts w:cstheme="minorHAnsi"/>
          <w:color w:val="002060"/>
        </w:rPr>
        <w:t>1-7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+</w:t>
      </w:r>
      <w:r w:rsidR="00FB3207">
        <w:rPr>
          <w:rFonts w:cstheme="minorHAnsi"/>
          <w:color w:val="7030A0"/>
        </w:rPr>
        <w:t>|</w:t>
      </w:r>
      <w:r w:rsidR="00E90A12">
        <w:rPr>
          <w:rFonts w:cstheme="minorHAnsi"/>
          <w:color w:val="7030A0"/>
        </w:rPr>
        <w:t>1</w:t>
      </w:r>
      <w:r w:rsidRPr="001408C4">
        <w:rPr>
          <w:rFonts w:cstheme="minorHAnsi"/>
        </w:rPr>
        <w:t>&gt;</w:t>
      </w:r>
      <w:r w:rsidR="00F55DDD">
        <w:rPr>
          <w:rStyle w:val="FootnoteReference"/>
          <w:rFonts w:cstheme="minorHAnsi"/>
        </w:rPr>
        <w:footnoteReference w:id="7"/>
      </w:r>
      <w:r w:rsidRPr="001408C4">
        <w:rPr>
          <w:rFonts w:cstheme="minorHAnsi"/>
        </w:rPr>
        <w:t>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A2F5" w14:textId="77777777" w:rsidR="00AB1EB9" w:rsidRDefault="00AB1EB9" w:rsidP="005B6945">
      <w:pPr>
        <w:spacing w:after="0" w:line="240" w:lineRule="auto"/>
      </w:pPr>
      <w:r>
        <w:separator/>
      </w:r>
    </w:p>
  </w:endnote>
  <w:endnote w:type="continuationSeparator" w:id="0">
    <w:p w14:paraId="508E8FFF" w14:textId="77777777" w:rsidR="00AB1EB9" w:rsidRDefault="00AB1EB9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E9AC" w14:textId="77777777" w:rsidR="00AB1EB9" w:rsidRDefault="00AB1EB9" w:rsidP="005B6945">
      <w:pPr>
        <w:spacing w:after="0" w:line="240" w:lineRule="auto"/>
      </w:pPr>
      <w:r>
        <w:separator/>
      </w:r>
    </w:p>
  </w:footnote>
  <w:footnote w:type="continuationSeparator" w:id="0">
    <w:p w14:paraId="03D0C6FD" w14:textId="77777777" w:rsidR="00AB1EB9" w:rsidRDefault="00AB1EB9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  <w:footnote w:id="2">
    <w:p w14:paraId="5BC3502A" w14:textId="693F56A0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while|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>&gt;</w:t>
      </w:r>
    </w:p>
  </w:footnote>
  <w:footnote w:id="3">
    <w:p w14:paraId="4BC059C2" w14:textId="54E42BC1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operation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7030A0"/>
        </w:rPr>
        <w:t>value</w:t>
      </w:r>
      <w:proofErr w:type="spellEnd"/>
      <w:r w:rsidRPr="001408C4">
        <w:rPr>
          <w:rFonts w:cstheme="minorHAnsi"/>
        </w:rPr>
        <w:t>&gt;</w:t>
      </w:r>
    </w:p>
  </w:footnote>
  <w:footnote w:id="4">
    <w:p w14:paraId="703937D7" w14:textId="47E9252C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 xml:space="preserve"> &gt;</w:t>
      </w:r>
    </w:p>
  </w:footnote>
  <w:footnote w:id="5">
    <w:p w14:paraId="421132B9" w14:textId="1181A027" w:rsidR="00F55DDD" w:rsidRDefault="00F55DDD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r w:rsidRPr="00E249EF">
        <w:rPr>
          <w:rFonts w:cstheme="minorHAnsi"/>
          <w:color w:val="4472C4" w:themeColor="accent1"/>
        </w:rPr>
        <w:t xml:space="preserve">else </w:t>
      </w:r>
      <w:proofErr w:type="spellStart"/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>&gt;</w:t>
      </w:r>
    </w:p>
    <w:p w14:paraId="34E9B097" w14:textId="77777777" w:rsidR="00F55DDD" w:rsidRPr="00F55DDD" w:rsidRDefault="00F55DDD">
      <w:pPr>
        <w:pStyle w:val="FootnoteText"/>
        <w:rPr>
          <w:lang w:val="en-GB"/>
        </w:rPr>
      </w:pPr>
    </w:p>
  </w:footnote>
  <w:footnote w:id="6">
    <w:p w14:paraId="3F7B8BBE" w14:textId="7505B526" w:rsidR="002E3E26" w:rsidRPr="002E3E26" w:rsidRDefault="002E3E2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7BA597D0" w14:textId="6692F2F3" w:rsidR="00F55DDD" w:rsidRPr="00F55DDD" w:rsidRDefault="00F55DD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for|</w:t>
      </w:r>
      <w:r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|[</w:t>
      </w:r>
      <w:r w:rsidRPr="001408C4">
        <w:rPr>
          <w:rFonts w:cstheme="minorHAnsi"/>
          <w:color w:val="002060"/>
        </w:rPr>
        <w:t>range]</w:t>
      </w:r>
      <w:r w:rsidRPr="001408C4"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 w:rsidRPr="001408C4"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qwUAes5aUywAAAA="/>
  </w:docVars>
  <w:rsids>
    <w:rsidRoot w:val="005B6945"/>
    <w:rsid w:val="00024D14"/>
    <w:rsid w:val="001201F5"/>
    <w:rsid w:val="001408C4"/>
    <w:rsid w:val="002530E7"/>
    <w:rsid w:val="002E3E26"/>
    <w:rsid w:val="00351FB7"/>
    <w:rsid w:val="00376E82"/>
    <w:rsid w:val="00381313"/>
    <w:rsid w:val="00381B20"/>
    <w:rsid w:val="00384E78"/>
    <w:rsid w:val="003D64D7"/>
    <w:rsid w:val="003D7BD9"/>
    <w:rsid w:val="004D4830"/>
    <w:rsid w:val="005B6945"/>
    <w:rsid w:val="0071408E"/>
    <w:rsid w:val="0073756B"/>
    <w:rsid w:val="0076248F"/>
    <w:rsid w:val="00796FD1"/>
    <w:rsid w:val="007F6E13"/>
    <w:rsid w:val="008B7D15"/>
    <w:rsid w:val="008C627B"/>
    <w:rsid w:val="008D218B"/>
    <w:rsid w:val="008E7233"/>
    <w:rsid w:val="009110ED"/>
    <w:rsid w:val="0097465C"/>
    <w:rsid w:val="009C2EA6"/>
    <w:rsid w:val="00AB1EB9"/>
    <w:rsid w:val="00AF0496"/>
    <w:rsid w:val="00BC6856"/>
    <w:rsid w:val="00BF3583"/>
    <w:rsid w:val="00C035FC"/>
    <w:rsid w:val="00C64590"/>
    <w:rsid w:val="00CD650F"/>
    <w:rsid w:val="00D17865"/>
    <w:rsid w:val="00D2541C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E3E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35</cp:revision>
  <dcterms:created xsi:type="dcterms:W3CDTF">2021-09-30T11:41:00Z</dcterms:created>
  <dcterms:modified xsi:type="dcterms:W3CDTF">2021-10-05T11:33:00Z</dcterms:modified>
</cp:coreProperties>
</file>