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36799" w14:textId="77777777" w:rsidR="00B069C6" w:rsidRDefault="00B069C6" w:rsidP="00FC18D7">
      <w:pPr>
        <w:spacing w:after="0"/>
        <w:jc w:val="right"/>
        <w:rPr>
          <w:rFonts w:asciiTheme="minorHAnsi" w:hAnsiTheme="minorHAnsi"/>
          <w:bCs/>
          <w:sz w:val="24"/>
          <w:szCs w:val="24"/>
        </w:rPr>
      </w:pPr>
    </w:p>
    <w:p w14:paraId="3F06B7FB" w14:textId="470C2016"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DE4DDB" w:rsidRPr="00DE4DDB">
        <w:t xml:space="preserve"> </w:t>
      </w:r>
      <w:r w:rsidR="00DE4DDB" w:rsidRPr="00DE4DDB">
        <w:rPr>
          <w:rFonts w:asciiTheme="minorHAnsi" w:hAnsiTheme="minorHAnsi"/>
          <w:b/>
          <w:sz w:val="24"/>
          <w:szCs w:val="24"/>
        </w:rPr>
        <w:t>13072020-48</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65715EFF"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05E94964"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8B4A97">
        <w:rPr>
          <w:rFonts w:asciiTheme="minorHAnsi" w:hAnsiTheme="minorHAnsi"/>
          <w:sz w:val="24"/>
          <w:szCs w:val="24"/>
        </w:rPr>
        <w:t>13</w:t>
      </w:r>
      <w:r w:rsidR="005D72EC" w:rsidRPr="00BE1534">
        <w:rPr>
          <w:rFonts w:asciiTheme="minorHAnsi" w:hAnsiTheme="minorHAnsi"/>
          <w:sz w:val="24"/>
          <w:szCs w:val="24"/>
        </w:rPr>
        <w:t xml:space="preserve"> de </w:t>
      </w:r>
      <w:r w:rsidR="00947D12">
        <w:rPr>
          <w:rFonts w:asciiTheme="minorHAnsi" w:hAnsiTheme="minorHAnsi"/>
          <w:sz w:val="24"/>
          <w:szCs w:val="24"/>
        </w:rPr>
        <w:t>juli</w:t>
      </w:r>
      <w:r w:rsidR="009E61B5">
        <w:rPr>
          <w:rFonts w:asciiTheme="minorHAnsi" w:hAnsiTheme="minorHAnsi"/>
          <w:sz w:val="24"/>
          <w:szCs w:val="24"/>
        </w:rPr>
        <w:t>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0A38876A" w14:textId="77777777" w:rsidR="00B069C6" w:rsidRDefault="00B069C6" w:rsidP="00005191">
      <w:pPr>
        <w:jc w:val="both"/>
        <w:rPr>
          <w:rFonts w:asciiTheme="minorHAnsi" w:hAnsiTheme="minorHAnsi" w:cstheme="minorHAnsi"/>
          <w:b/>
          <w:sz w:val="24"/>
          <w:szCs w:val="24"/>
        </w:rPr>
      </w:pPr>
    </w:p>
    <w:p w14:paraId="5509573B" w14:textId="0DCD48A2" w:rsidR="00005191" w:rsidRPr="00286A7B" w:rsidRDefault="00E57BA7" w:rsidP="00005191">
      <w:pPr>
        <w:jc w:val="both"/>
        <w:rPr>
          <w:rFonts w:eastAsia="Times New Roman"/>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74047D">
        <w:rPr>
          <w:rFonts w:asciiTheme="minorHAnsi" w:hAnsiTheme="minorHAnsi" w:cstheme="minorHAnsi"/>
          <w:sz w:val="24"/>
          <w:szCs w:val="24"/>
        </w:rPr>
        <w:t>d</w:t>
      </w:r>
      <w:r w:rsidR="00947D12">
        <w:rPr>
          <w:rFonts w:asciiTheme="minorHAnsi" w:hAnsiTheme="minorHAnsi" w:cstheme="minorHAnsi"/>
          <w:sz w:val="24"/>
          <w:szCs w:val="24"/>
        </w:rPr>
        <w:t>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3F19F8">
        <w:rPr>
          <w:rFonts w:asciiTheme="minorHAnsi" w:hAnsiTheme="minorHAnsi" w:cstheme="minorHAnsi"/>
          <w:sz w:val="24"/>
          <w:szCs w:val="24"/>
        </w:rPr>
        <w:t>trece</w:t>
      </w:r>
      <w:r w:rsidR="00AB6D8D" w:rsidRPr="00BE1534">
        <w:rPr>
          <w:rFonts w:asciiTheme="minorHAnsi" w:hAnsiTheme="minorHAnsi" w:cstheme="minorHAnsi"/>
          <w:sz w:val="24"/>
          <w:szCs w:val="24"/>
        </w:rPr>
        <w:t xml:space="preserve"> de </w:t>
      </w:r>
      <w:r w:rsidR="00947D12">
        <w:rPr>
          <w:rFonts w:asciiTheme="minorHAnsi" w:hAnsiTheme="minorHAnsi" w:cstheme="minorHAnsi"/>
          <w:sz w:val="24"/>
          <w:szCs w:val="24"/>
        </w:rPr>
        <w:t>juli</w:t>
      </w:r>
      <w:r w:rsidR="009E61B5">
        <w:rPr>
          <w:rFonts w:asciiTheme="minorHAnsi" w:hAnsiTheme="minorHAnsi" w:cstheme="minorHAnsi"/>
          <w:sz w:val="24"/>
          <w:szCs w:val="24"/>
        </w:rPr>
        <w:t>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con el obje</w:t>
      </w:r>
      <w:r w:rsidR="00947D12">
        <w:rPr>
          <w:rFonts w:asciiTheme="minorHAnsi" w:eastAsia="Times New Roman" w:hAnsiTheme="minorHAnsi" w:cstheme="minorHAnsi"/>
          <w:color w:val="000000"/>
          <w:sz w:val="24"/>
          <w:szCs w:val="24"/>
        </w:rPr>
        <w:t>t</w:t>
      </w:r>
      <w:r w:rsidR="0074047D">
        <w:rPr>
          <w:rFonts w:asciiTheme="minorHAnsi" w:eastAsia="Times New Roman" w:hAnsiTheme="minorHAnsi" w:cstheme="minorHAnsi"/>
          <w:color w:val="000000"/>
          <w:sz w:val="24"/>
          <w:szCs w:val="24"/>
        </w:rPr>
        <w:t xml:space="preserve">o </w:t>
      </w:r>
      <w:r w:rsidR="00947D12">
        <w:rPr>
          <w:rFonts w:asciiTheme="minorHAnsi" w:eastAsia="Times New Roman" w:hAnsiTheme="minorHAnsi" w:cstheme="minorHAnsi"/>
          <w:color w:val="000000"/>
          <w:sz w:val="24"/>
          <w:szCs w:val="24"/>
        </w:rPr>
        <w:t>de desahogar un asunto puesto a consideración por el Presidente del CEPC</w:t>
      </w:r>
      <w:r w:rsidR="009173DE">
        <w:rPr>
          <w:rFonts w:asciiTheme="minorHAnsi" w:eastAsia="Times New Roman" w:hAnsiTheme="minorHAnsi" w:cstheme="minorHAnsi"/>
          <w:color w:val="000000"/>
          <w:sz w:val="24"/>
          <w:szCs w:val="24"/>
        </w:rPr>
        <w:t>.</w:t>
      </w:r>
    </w:p>
    <w:p w14:paraId="2918F28D" w14:textId="34216CC2" w:rsidR="004D0A50" w:rsidRPr="00BE1534" w:rsidRDefault="004D0A50" w:rsidP="00053701">
      <w:pPr>
        <w:pStyle w:val="NormalWeb"/>
        <w:spacing w:before="2" w:after="2" w:line="276" w:lineRule="auto"/>
        <w:jc w:val="both"/>
        <w:rPr>
          <w:rFonts w:asciiTheme="minorHAnsi" w:eastAsia="Times New Roman" w:hAnsiTheme="minorHAnsi" w:cstheme="minorHAnsi"/>
          <w:sz w:val="24"/>
          <w:szCs w:val="24"/>
          <w:lang w:val="es-MX" w:eastAsia="es-MX"/>
        </w:rPr>
      </w:pPr>
    </w:p>
    <w:p w14:paraId="3D1DC751" w14:textId="496568FA"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27910DE" w14:textId="0988EA85" w:rsidR="00D924E6" w:rsidRDefault="00D924E6">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26F9E57C" w:rsidR="00767EA5" w:rsidRPr="006D2FA2" w:rsidRDefault="00947D12" w:rsidP="00947D12">
            <w:pPr>
              <w:jc w:val="both"/>
              <w:rPr>
                <w:rFonts w:asciiTheme="minorHAnsi" w:hAnsiTheme="minorHAnsi" w:cstheme="minorHAnsi"/>
                <w:sz w:val="24"/>
                <w:szCs w:val="24"/>
              </w:rPr>
            </w:pPr>
            <w:r>
              <w:rPr>
                <w:rFonts w:asciiTheme="minorHAnsi" w:hAnsiTheme="minorHAnsi" w:cstheme="minorHAnsi"/>
                <w:sz w:val="24"/>
                <w:szCs w:val="24"/>
              </w:rPr>
              <w:t>Integración de una terna que será propuesta al Órgano de Gobierno de la Secretaría Ejecutiva para que nombre a una persona como encargada del despacho de la Secretaría Técnica en tanto se culmina el Proceso iniciado el pasado 15 de julio</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2D228E7B"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C95F98">
        <w:rPr>
          <w:rFonts w:asciiTheme="minorHAnsi" w:hAnsiTheme="minorHAnsi"/>
          <w:sz w:val="24"/>
          <w:szCs w:val="24"/>
        </w:rPr>
        <w:t>O</w:t>
      </w:r>
      <w:r w:rsidR="00C95F98"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C95F98">
        <w:rPr>
          <w:rFonts w:asciiTheme="minorHAnsi" w:hAnsiTheme="minorHAnsi"/>
          <w:sz w:val="24"/>
          <w:szCs w:val="24"/>
        </w:rPr>
        <w:t>D</w:t>
      </w:r>
      <w:r w:rsidR="00C95F98"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1C233805" w:rsidR="00CF0F15" w:rsidRPr="00BE1534" w:rsidRDefault="00CF0F15">
      <w:pPr>
        <w:spacing w:after="0"/>
        <w:jc w:val="both"/>
        <w:rPr>
          <w:rFonts w:asciiTheme="minorHAnsi" w:hAnsiTheme="minorHAnsi"/>
          <w:sz w:val="24"/>
          <w:szCs w:val="24"/>
        </w:rPr>
      </w:pPr>
    </w:p>
    <w:p w14:paraId="7A76CDA8" w14:textId="5334952C" w:rsidR="00BA70FE" w:rsidRDefault="00DA2BAF" w:rsidP="005A234B">
      <w:pPr>
        <w:spacing w:after="0"/>
        <w:jc w:val="both"/>
        <w:rPr>
          <w:rFonts w:asciiTheme="minorHAnsi" w:hAnsiTheme="minorHAnsi" w:cstheme="minorHAnsi"/>
          <w:b/>
          <w:bCs/>
          <w:sz w:val="24"/>
          <w:szCs w:val="24"/>
        </w:rPr>
      </w:pPr>
      <w:r w:rsidRPr="00DA2BAF">
        <w:rPr>
          <w:rFonts w:asciiTheme="minorHAnsi" w:hAnsiTheme="minorHAnsi" w:cstheme="minorHAnsi"/>
          <w:b/>
          <w:bCs/>
          <w:sz w:val="24"/>
          <w:szCs w:val="24"/>
        </w:rPr>
        <w:t>Integración de una terna que será propuesta al Órgano de Gobierno de la Secretaría Ejecutiva para que nombre a una persona como encargada del despacho de la Secretaría Técnica en tanto se culmina el Proceso iniciado el pasado 15 de julio</w:t>
      </w:r>
    </w:p>
    <w:p w14:paraId="07D5D4E9" w14:textId="77777777" w:rsidR="00356E51" w:rsidRPr="00416296" w:rsidRDefault="00356E51" w:rsidP="005A234B">
      <w:pPr>
        <w:spacing w:after="0"/>
        <w:jc w:val="both"/>
        <w:rPr>
          <w:rFonts w:asciiTheme="minorHAnsi" w:hAnsiTheme="minorHAnsi"/>
          <w:b/>
          <w:bCs/>
          <w:sz w:val="24"/>
          <w:szCs w:val="24"/>
        </w:rPr>
      </w:pPr>
    </w:p>
    <w:p w14:paraId="18302D80" w14:textId="234B8B08" w:rsidR="004602B0" w:rsidRDefault="003A404F" w:rsidP="00DA2BAF">
      <w:pPr>
        <w:spacing w:after="0"/>
        <w:jc w:val="both"/>
        <w:rPr>
          <w:rFonts w:asciiTheme="minorHAnsi" w:hAnsiTheme="minorHAnsi"/>
          <w:sz w:val="24"/>
          <w:szCs w:val="24"/>
        </w:rPr>
      </w:pPr>
      <w:r>
        <w:rPr>
          <w:rFonts w:asciiTheme="minorHAnsi" w:hAnsiTheme="minorHAnsi"/>
          <w:sz w:val="24"/>
          <w:szCs w:val="24"/>
        </w:rPr>
        <w:t xml:space="preserve">DVA </w:t>
      </w:r>
      <w:r w:rsidR="00DA2BAF">
        <w:rPr>
          <w:rFonts w:asciiTheme="minorHAnsi" w:hAnsiTheme="minorHAnsi"/>
          <w:sz w:val="24"/>
          <w:szCs w:val="24"/>
        </w:rPr>
        <w:t>invitó</w:t>
      </w:r>
      <w:r>
        <w:rPr>
          <w:rFonts w:asciiTheme="minorHAnsi" w:hAnsiTheme="minorHAnsi"/>
          <w:sz w:val="24"/>
          <w:szCs w:val="24"/>
        </w:rPr>
        <w:t xml:space="preserve"> a los integrantes del CEPC </w:t>
      </w:r>
      <w:r w:rsidR="00DA2BAF">
        <w:rPr>
          <w:rFonts w:asciiTheme="minorHAnsi" w:hAnsiTheme="minorHAnsi"/>
          <w:sz w:val="24"/>
          <w:szCs w:val="24"/>
        </w:rPr>
        <w:t xml:space="preserve">a comentar los inconvenientes que se derivan de la renuncia del Secretario Técnico de la Secretaría Ejecutiva del SEA, mismos que podrían verse reducidos al menos en los temas administrativos si se contara con una persona que fuese nombrada como encargada del despacho de la Secretaría Técnica, en tanto se </w:t>
      </w:r>
      <w:r w:rsidR="00DA2BAF">
        <w:rPr>
          <w:rFonts w:asciiTheme="minorHAnsi" w:hAnsiTheme="minorHAnsi"/>
          <w:sz w:val="24"/>
          <w:szCs w:val="24"/>
        </w:rPr>
        <w:lastRenderedPageBreak/>
        <w:t>desarrolla y concluye el Proceso en curso para nominar una terna y proponerla</w:t>
      </w:r>
      <w:r w:rsidR="003633C4">
        <w:rPr>
          <w:rFonts w:asciiTheme="minorHAnsi" w:hAnsiTheme="minorHAnsi"/>
          <w:sz w:val="24"/>
          <w:szCs w:val="24"/>
        </w:rPr>
        <w:t xml:space="preserve"> a consideración de</w:t>
      </w:r>
      <w:r w:rsidR="00DA2BAF">
        <w:rPr>
          <w:rFonts w:asciiTheme="minorHAnsi" w:hAnsiTheme="minorHAnsi"/>
          <w:sz w:val="24"/>
          <w:szCs w:val="24"/>
        </w:rPr>
        <w:t>l Órgano de Gobierno para que sea posible el nombramiento de un nuevo Secretario Técnico para un período de cinco años, como lo establece la Ley del SEA.</w:t>
      </w:r>
    </w:p>
    <w:p w14:paraId="1985918F" w14:textId="342DD0C0" w:rsidR="00DA2BAF" w:rsidRDefault="00DA2BAF" w:rsidP="00DA2BAF">
      <w:pPr>
        <w:spacing w:after="0"/>
        <w:jc w:val="both"/>
        <w:rPr>
          <w:rFonts w:asciiTheme="minorHAnsi" w:hAnsiTheme="minorHAnsi"/>
          <w:sz w:val="24"/>
          <w:szCs w:val="24"/>
        </w:rPr>
      </w:pPr>
    </w:p>
    <w:p w14:paraId="5CAE1942" w14:textId="7E0B4237" w:rsidR="00DA2BAF" w:rsidRDefault="00DA2BAF" w:rsidP="00DA2BAF">
      <w:pPr>
        <w:spacing w:after="0"/>
        <w:jc w:val="both"/>
        <w:rPr>
          <w:rFonts w:asciiTheme="minorHAnsi" w:hAnsiTheme="minorHAnsi"/>
          <w:sz w:val="24"/>
          <w:szCs w:val="24"/>
        </w:rPr>
      </w:pPr>
      <w:r>
        <w:rPr>
          <w:rFonts w:asciiTheme="minorHAnsi" w:hAnsiTheme="minorHAnsi"/>
          <w:sz w:val="24"/>
          <w:szCs w:val="24"/>
        </w:rPr>
        <w:t xml:space="preserve">En uso de la palabra, EZC </w:t>
      </w:r>
      <w:r w:rsidR="003057AB">
        <w:rPr>
          <w:rFonts w:asciiTheme="minorHAnsi" w:hAnsiTheme="minorHAnsi"/>
          <w:sz w:val="24"/>
          <w:szCs w:val="24"/>
        </w:rPr>
        <w:t xml:space="preserve">dio lectura a dos artículos de la </w:t>
      </w:r>
      <w:r w:rsidR="003057AB" w:rsidRPr="003057AB">
        <w:rPr>
          <w:rFonts w:asciiTheme="minorHAnsi" w:hAnsiTheme="minorHAnsi"/>
          <w:b/>
          <w:bCs/>
          <w:sz w:val="24"/>
          <w:szCs w:val="24"/>
        </w:rPr>
        <w:t xml:space="preserve">Ley </w:t>
      </w:r>
      <w:r w:rsidR="003057AB">
        <w:rPr>
          <w:rFonts w:asciiTheme="minorHAnsi" w:hAnsiTheme="minorHAnsi"/>
          <w:b/>
          <w:bCs/>
          <w:sz w:val="24"/>
          <w:szCs w:val="24"/>
        </w:rPr>
        <w:t xml:space="preserve">Orgánica </w:t>
      </w:r>
      <w:r w:rsidR="003057AB" w:rsidRPr="003057AB">
        <w:rPr>
          <w:rFonts w:asciiTheme="minorHAnsi" w:hAnsiTheme="minorHAnsi"/>
          <w:b/>
          <w:bCs/>
          <w:sz w:val="24"/>
          <w:szCs w:val="24"/>
        </w:rPr>
        <w:t>de</w:t>
      </w:r>
      <w:r w:rsidR="003057AB">
        <w:rPr>
          <w:rFonts w:asciiTheme="minorHAnsi" w:hAnsiTheme="minorHAnsi"/>
          <w:b/>
          <w:bCs/>
          <w:sz w:val="24"/>
          <w:szCs w:val="24"/>
        </w:rPr>
        <w:t xml:space="preserve"> </w:t>
      </w:r>
      <w:r w:rsidR="003057AB" w:rsidRPr="003057AB">
        <w:rPr>
          <w:rFonts w:asciiTheme="minorHAnsi" w:hAnsiTheme="minorHAnsi"/>
          <w:b/>
          <w:bCs/>
          <w:sz w:val="24"/>
          <w:szCs w:val="24"/>
        </w:rPr>
        <w:t>l</w:t>
      </w:r>
      <w:r w:rsidR="003057AB">
        <w:rPr>
          <w:rFonts w:asciiTheme="minorHAnsi" w:hAnsiTheme="minorHAnsi"/>
          <w:b/>
          <w:bCs/>
          <w:sz w:val="24"/>
          <w:szCs w:val="24"/>
        </w:rPr>
        <w:t>a Administración</w:t>
      </w:r>
      <w:r w:rsidR="003057AB" w:rsidRPr="003057AB">
        <w:rPr>
          <w:rFonts w:asciiTheme="minorHAnsi" w:hAnsiTheme="minorHAnsi"/>
          <w:b/>
          <w:bCs/>
          <w:sz w:val="24"/>
          <w:szCs w:val="24"/>
        </w:rPr>
        <w:t xml:space="preserve"> Públic</w:t>
      </w:r>
      <w:r w:rsidR="003057AB">
        <w:rPr>
          <w:rFonts w:asciiTheme="minorHAnsi" w:hAnsiTheme="minorHAnsi"/>
          <w:b/>
          <w:bCs/>
          <w:sz w:val="24"/>
          <w:szCs w:val="24"/>
        </w:rPr>
        <w:t>a</w:t>
      </w:r>
      <w:r w:rsidR="003057AB" w:rsidRPr="003057AB">
        <w:rPr>
          <w:rFonts w:asciiTheme="minorHAnsi" w:hAnsiTheme="minorHAnsi"/>
          <w:b/>
          <w:bCs/>
          <w:sz w:val="24"/>
          <w:szCs w:val="24"/>
        </w:rPr>
        <w:t xml:space="preserve"> del Estado de Puebla</w:t>
      </w:r>
      <w:r w:rsidR="003057AB">
        <w:rPr>
          <w:rFonts w:asciiTheme="minorHAnsi" w:hAnsiTheme="minorHAnsi"/>
          <w:sz w:val="24"/>
          <w:szCs w:val="24"/>
        </w:rPr>
        <w:t>, mismos que por conveniencia se transcriben enseguida (los subrayados son nuestros):</w:t>
      </w:r>
    </w:p>
    <w:p w14:paraId="1922EB62" w14:textId="77777777" w:rsidR="003057AB" w:rsidRDefault="003057AB" w:rsidP="003057AB">
      <w:pPr>
        <w:pStyle w:val="Sinespaciado"/>
        <w:ind w:left="284"/>
        <w:rPr>
          <w:rFonts w:cstheme="minorHAnsi"/>
          <w:b/>
          <w:bCs/>
          <w:i/>
          <w:iCs/>
        </w:rPr>
      </w:pPr>
    </w:p>
    <w:p w14:paraId="0B40AD2B" w14:textId="090B7F65" w:rsidR="003057AB" w:rsidRPr="003057AB" w:rsidRDefault="003057AB" w:rsidP="00B069C6">
      <w:pPr>
        <w:pStyle w:val="Sinespaciado"/>
        <w:ind w:left="284"/>
        <w:jc w:val="both"/>
        <w:rPr>
          <w:rFonts w:cstheme="minorHAnsi"/>
          <w:i/>
          <w:iCs/>
        </w:rPr>
      </w:pPr>
      <w:r w:rsidRPr="003057AB">
        <w:rPr>
          <w:rFonts w:cstheme="minorHAnsi"/>
          <w:b/>
          <w:bCs/>
          <w:i/>
          <w:iCs/>
        </w:rPr>
        <w:t xml:space="preserve">ARTÍCULO 1. </w:t>
      </w:r>
      <w:r w:rsidRPr="003057AB">
        <w:rPr>
          <w:rFonts w:cstheme="minorHAnsi"/>
          <w:i/>
          <w:iCs/>
        </w:rPr>
        <w:t xml:space="preserve">La presente Ley establece las bases para la organización y el funcionamiento de la Administración Pública Estatal, Centralizada y Paraestatal. </w:t>
      </w:r>
    </w:p>
    <w:p w14:paraId="4B3FFBD9" w14:textId="77777777" w:rsidR="003057AB" w:rsidRPr="003057AB" w:rsidRDefault="003057AB" w:rsidP="00B069C6">
      <w:pPr>
        <w:pStyle w:val="Sinespaciado"/>
        <w:ind w:left="284"/>
        <w:jc w:val="both"/>
        <w:rPr>
          <w:rFonts w:cstheme="minorHAnsi"/>
          <w:i/>
          <w:iCs/>
        </w:rPr>
      </w:pPr>
    </w:p>
    <w:p w14:paraId="70AD9AA2" w14:textId="77777777" w:rsidR="003057AB" w:rsidRPr="003057AB" w:rsidRDefault="003057AB" w:rsidP="00B069C6">
      <w:pPr>
        <w:pStyle w:val="Sinespaciado"/>
        <w:ind w:left="284"/>
        <w:jc w:val="both"/>
        <w:rPr>
          <w:rFonts w:cstheme="minorHAnsi"/>
          <w:i/>
          <w:iCs/>
        </w:rPr>
      </w:pPr>
      <w:r w:rsidRPr="003057AB">
        <w:rPr>
          <w:rFonts w:cstheme="minorHAnsi"/>
          <w:i/>
          <w:iCs/>
        </w:rPr>
        <w:t xml:space="preserve">Las secretarías, así como las unidades administrativas que dependan directamente del Gobernador del Estado y funjan como órganos auxiliares del mismo, integrarán la Administración Pública Centralizada. A todas ellas se les denominará genéricamente como dependencias. </w:t>
      </w:r>
    </w:p>
    <w:p w14:paraId="4F121AC8" w14:textId="77777777" w:rsidR="003057AB" w:rsidRPr="003057AB" w:rsidRDefault="003057AB" w:rsidP="00B069C6">
      <w:pPr>
        <w:pStyle w:val="Sinespaciado"/>
        <w:ind w:left="284"/>
        <w:jc w:val="both"/>
        <w:rPr>
          <w:rFonts w:cstheme="minorHAnsi"/>
          <w:i/>
          <w:iCs/>
        </w:rPr>
      </w:pPr>
    </w:p>
    <w:p w14:paraId="049A5416" w14:textId="77777777" w:rsidR="003057AB" w:rsidRPr="003057AB" w:rsidRDefault="003057AB" w:rsidP="00B069C6">
      <w:pPr>
        <w:pStyle w:val="Sinespaciado"/>
        <w:ind w:left="284"/>
        <w:jc w:val="both"/>
        <w:rPr>
          <w:rFonts w:cstheme="minorHAnsi"/>
          <w:b/>
          <w:bCs/>
          <w:i/>
          <w:iCs/>
        </w:rPr>
      </w:pPr>
      <w:r w:rsidRPr="003057AB">
        <w:rPr>
          <w:rFonts w:cstheme="minorHAnsi"/>
          <w:i/>
          <w:iCs/>
        </w:rPr>
        <w:t>Los organismos públicos descentralizados, las empresas de participación estatal mayoritaria, los fideicomisos públicos, las comisiones y demás órganos de carácter público que funcionen en el estado, diversos de los otros poderes y de los órganos constitucionalmente autónomos, conforman la Administración Pública Paraestatal</w:t>
      </w:r>
      <w:r w:rsidRPr="003057AB">
        <w:rPr>
          <w:rFonts w:cstheme="minorHAnsi"/>
          <w:i/>
          <w:iCs/>
          <w:u w:val="single"/>
        </w:rPr>
        <w:t>. A estas unidades administrativas se les denominará genéricamente como entidades</w:t>
      </w:r>
      <w:r w:rsidRPr="003057AB">
        <w:rPr>
          <w:rFonts w:cstheme="minorHAnsi"/>
          <w:i/>
          <w:iCs/>
        </w:rPr>
        <w:t>. Las mismas podrán ser agrupadas por el Gobernador en sectores en los términos previstos en la presente Ley y conforme a las disposiciones correspondientes.</w:t>
      </w:r>
    </w:p>
    <w:p w14:paraId="4AC77C7C" w14:textId="6D4CEDEA" w:rsidR="00AE14CA" w:rsidRDefault="003057AB" w:rsidP="005A234B">
      <w:pPr>
        <w:spacing w:after="0"/>
        <w:jc w:val="both"/>
        <w:rPr>
          <w:rFonts w:asciiTheme="minorHAnsi" w:hAnsiTheme="minorHAnsi"/>
          <w:sz w:val="24"/>
          <w:szCs w:val="24"/>
        </w:rPr>
      </w:pPr>
      <w:r>
        <w:rPr>
          <w:rFonts w:asciiTheme="minorHAnsi" w:hAnsiTheme="minorHAnsi"/>
          <w:sz w:val="24"/>
          <w:szCs w:val="24"/>
        </w:rPr>
        <w:t>y</w:t>
      </w:r>
    </w:p>
    <w:p w14:paraId="2600D49B" w14:textId="77777777" w:rsidR="003057AB" w:rsidRPr="003057AB" w:rsidRDefault="003057AB" w:rsidP="00B069C6">
      <w:pPr>
        <w:pStyle w:val="Sinespaciado"/>
        <w:ind w:left="284"/>
        <w:jc w:val="both"/>
        <w:rPr>
          <w:rFonts w:cstheme="minorHAnsi"/>
          <w:i/>
          <w:iCs/>
        </w:rPr>
      </w:pPr>
      <w:r w:rsidRPr="003057AB">
        <w:rPr>
          <w:rFonts w:cstheme="minorHAnsi"/>
          <w:b/>
          <w:bCs/>
          <w:i/>
          <w:iCs/>
        </w:rPr>
        <w:t xml:space="preserve">ARTÍCULO 13. </w:t>
      </w:r>
      <w:r w:rsidRPr="003057AB">
        <w:rPr>
          <w:rFonts w:cstheme="minorHAnsi"/>
          <w:i/>
          <w:iCs/>
        </w:rPr>
        <w:t xml:space="preserve">Cada dependencia o </w:t>
      </w:r>
      <w:r w:rsidRPr="003057AB">
        <w:rPr>
          <w:rFonts w:cstheme="minorHAnsi"/>
          <w:i/>
          <w:iCs/>
          <w:u w:val="single"/>
        </w:rPr>
        <w:t>entidad</w:t>
      </w:r>
      <w:r w:rsidRPr="003057AB">
        <w:rPr>
          <w:rFonts w:cstheme="minorHAnsi"/>
          <w:i/>
          <w:iCs/>
        </w:rPr>
        <w:t xml:space="preserve"> tendrá al frente a un titular que se auxiliará, para el despacho de los asuntos de su competencia, de los servidores públicos previstos en las disposiciones reglamentarias correspondientes. </w:t>
      </w:r>
    </w:p>
    <w:p w14:paraId="08E90F3C" w14:textId="77777777" w:rsidR="003057AB" w:rsidRPr="003057AB" w:rsidRDefault="003057AB" w:rsidP="00B069C6">
      <w:pPr>
        <w:pStyle w:val="Sinespaciado"/>
        <w:ind w:left="284"/>
        <w:jc w:val="both"/>
        <w:rPr>
          <w:rFonts w:cstheme="minorHAnsi"/>
          <w:i/>
          <w:iCs/>
        </w:rPr>
      </w:pPr>
    </w:p>
    <w:p w14:paraId="6FFA2ADD" w14:textId="77777777" w:rsidR="003057AB" w:rsidRPr="003057AB" w:rsidRDefault="003057AB" w:rsidP="00B069C6">
      <w:pPr>
        <w:pStyle w:val="Sinespaciado"/>
        <w:ind w:left="284"/>
        <w:jc w:val="both"/>
        <w:rPr>
          <w:rFonts w:cstheme="minorHAnsi"/>
          <w:i/>
          <w:iCs/>
        </w:rPr>
      </w:pPr>
      <w:r w:rsidRPr="003057AB">
        <w:rPr>
          <w:rFonts w:cstheme="minorHAnsi"/>
          <w:i/>
          <w:iCs/>
        </w:rPr>
        <w:t xml:space="preserve">Cuando el titular de una dependencia o entidad se ausente del estado hasta por quince días hábiles, se encargará del despacho de los asuntos el servidor público que determine el reglamento interior correspondiente. </w:t>
      </w:r>
    </w:p>
    <w:p w14:paraId="6B4B57B8" w14:textId="77777777" w:rsidR="003057AB" w:rsidRPr="003057AB" w:rsidRDefault="003057AB" w:rsidP="00B069C6">
      <w:pPr>
        <w:pStyle w:val="Sinespaciado"/>
        <w:ind w:left="284"/>
        <w:jc w:val="both"/>
        <w:rPr>
          <w:rFonts w:cstheme="minorHAnsi"/>
          <w:i/>
          <w:iCs/>
        </w:rPr>
      </w:pPr>
    </w:p>
    <w:p w14:paraId="1376AD09" w14:textId="44711C5D" w:rsidR="003057AB" w:rsidRDefault="003057AB" w:rsidP="00B069C6">
      <w:pPr>
        <w:spacing w:after="0" w:line="240" w:lineRule="auto"/>
        <w:ind w:left="284"/>
        <w:jc w:val="both"/>
        <w:rPr>
          <w:rFonts w:asciiTheme="minorHAnsi" w:hAnsiTheme="minorHAnsi"/>
          <w:sz w:val="24"/>
          <w:szCs w:val="24"/>
        </w:rPr>
      </w:pPr>
      <w:r w:rsidRPr="003057AB">
        <w:rPr>
          <w:rFonts w:cstheme="minorHAnsi"/>
          <w:i/>
          <w:iCs/>
          <w:u w:val="single"/>
        </w:rPr>
        <w:t>En caso de que el titular de una</w:t>
      </w:r>
      <w:r w:rsidRPr="003057AB">
        <w:rPr>
          <w:rFonts w:cstheme="minorHAnsi"/>
          <w:i/>
          <w:iCs/>
        </w:rPr>
        <w:t xml:space="preserve"> dependencia o entidad se ausente por más de quince días hábiles o cuando por alguna otra circunstancia una dependencia o e</w:t>
      </w:r>
      <w:r w:rsidRPr="003057AB">
        <w:rPr>
          <w:rFonts w:cstheme="minorHAnsi"/>
          <w:i/>
          <w:iCs/>
          <w:u w:val="single"/>
        </w:rPr>
        <w:t>ntidad no cuente con su titular, se podrá designar un encargado de despacho para el desahogo de los asuntos, en los mismos términos que prevé la ley para el nombramiento del titular respectivo.</w:t>
      </w:r>
    </w:p>
    <w:p w14:paraId="0A766DB7" w14:textId="77777777" w:rsidR="003057AB" w:rsidRDefault="003057AB" w:rsidP="005A234B">
      <w:pPr>
        <w:spacing w:after="0"/>
        <w:jc w:val="both"/>
        <w:rPr>
          <w:rFonts w:asciiTheme="minorHAnsi" w:hAnsiTheme="minorHAnsi"/>
          <w:sz w:val="24"/>
          <w:szCs w:val="24"/>
        </w:rPr>
      </w:pPr>
    </w:p>
    <w:p w14:paraId="08019F83" w14:textId="77777777" w:rsidR="00B069C6" w:rsidRDefault="00B069C6" w:rsidP="005A234B">
      <w:pPr>
        <w:spacing w:after="0"/>
        <w:jc w:val="both"/>
        <w:rPr>
          <w:rFonts w:asciiTheme="minorHAnsi" w:hAnsiTheme="minorHAnsi"/>
          <w:sz w:val="24"/>
          <w:szCs w:val="24"/>
        </w:rPr>
      </w:pPr>
    </w:p>
    <w:p w14:paraId="7B87E3D5" w14:textId="33A29396" w:rsidR="003057AB" w:rsidRDefault="003057AB" w:rsidP="005A234B">
      <w:pPr>
        <w:spacing w:after="0"/>
        <w:jc w:val="both"/>
        <w:rPr>
          <w:rFonts w:asciiTheme="minorHAnsi" w:hAnsiTheme="minorHAnsi"/>
          <w:sz w:val="24"/>
          <w:szCs w:val="24"/>
        </w:rPr>
      </w:pPr>
      <w:r>
        <w:rPr>
          <w:rFonts w:asciiTheme="minorHAnsi" w:hAnsiTheme="minorHAnsi"/>
          <w:sz w:val="24"/>
          <w:szCs w:val="24"/>
        </w:rPr>
        <w:t xml:space="preserve">EZC </w:t>
      </w:r>
      <w:r w:rsidR="00CF54B9">
        <w:rPr>
          <w:rFonts w:asciiTheme="minorHAnsi" w:hAnsiTheme="minorHAnsi"/>
          <w:sz w:val="24"/>
          <w:szCs w:val="24"/>
        </w:rPr>
        <w:t xml:space="preserve">expresó </w:t>
      </w:r>
      <w:r>
        <w:rPr>
          <w:rFonts w:asciiTheme="minorHAnsi" w:hAnsiTheme="minorHAnsi"/>
          <w:sz w:val="24"/>
          <w:szCs w:val="24"/>
        </w:rPr>
        <w:t xml:space="preserve">que el proceso para designar a quien se encargue del despacho en la Secretaría Técnica mientras ésta se </w:t>
      </w:r>
      <w:r w:rsidR="00CF54B9">
        <w:rPr>
          <w:rFonts w:asciiTheme="minorHAnsi" w:hAnsiTheme="minorHAnsi"/>
          <w:sz w:val="24"/>
          <w:szCs w:val="24"/>
        </w:rPr>
        <w:t>encuentre</w:t>
      </w:r>
      <w:r>
        <w:rPr>
          <w:rFonts w:asciiTheme="minorHAnsi" w:hAnsiTheme="minorHAnsi"/>
          <w:sz w:val="24"/>
          <w:szCs w:val="24"/>
        </w:rPr>
        <w:t xml:space="preserve"> vacante</w:t>
      </w:r>
      <w:r w:rsidR="00633A8E">
        <w:rPr>
          <w:rFonts w:asciiTheme="minorHAnsi" w:hAnsiTheme="minorHAnsi"/>
          <w:sz w:val="24"/>
          <w:szCs w:val="24"/>
        </w:rPr>
        <w:t>,</w:t>
      </w:r>
      <w:r>
        <w:rPr>
          <w:rFonts w:asciiTheme="minorHAnsi" w:hAnsiTheme="minorHAnsi"/>
          <w:sz w:val="24"/>
          <w:szCs w:val="24"/>
        </w:rPr>
        <w:t xml:space="preserve"> deberá provenir de una terna, como lo ordena en sus párrafos primero y segundo el artículo 33 de la Ley del SEA, que a la letra señala lo siguiente</w:t>
      </w:r>
      <w:r w:rsidR="001B7217">
        <w:rPr>
          <w:rFonts w:asciiTheme="minorHAnsi" w:hAnsiTheme="minorHAnsi"/>
          <w:sz w:val="24"/>
          <w:szCs w:val="24"/>
        </w:rPr>
        <w:t xml:space="preserve"> (el subrayado es nuestro)</w:t>
      </w:r>
      <w:r>
        <w:rPr>
          <w:rFonts w:asciiTheme="minorHAnsi" w:hAnsiTheme="minorHAnsi"/>
          <w:sz w:val="24"/>
          <w:szCs w:val="24"/>
        </w:rPr>
        <w:t>:</w:t>
      </w:r>
    </w:p>
    <w:p w14:paraId="7A6A0AB8" w14:textId="77777777" w:rsidR="00B069C6" w:rsidRDefault="00B069C6" w:rsidP="003057AB">
      <w:pPr>
        <w:autoSpaceDE w:val="0"/>
        <w:autoSpaceDN w:val="0"/>
        <w:adjustRightInd w:val="0"/>
        <w:spacing w:after="0" w:line="240" w:lineRule="auto"/>
        <w:ind w:left="284"/>
        <w:rPr>
          <w:rFonts w:cstheme="minorHAnsi"/>
          <w:b/>
          <w:bCs/>
          <w:i/>
          <w:iCs/>
          <w:color w:val="000000"/>
        </w:rPr>
      </w:pPr>
    </w:p>
    <w:p w14:paraId="22BC7EB2" w14:textId="37BA1FFD" w:rsidR="003057AB" w:rsidRPr="003057AB" w:rsidRDefault="003057AB" w:rsidP="003057AB">
      <w:pPr>
        <w:autoSpaceDE w:val="0"/>
        <w:autoSpaceDN w:val="0"/>
        <w:adjustRightInd w:val="0"/>
        <w:spacing w:after="0" w:line="240" w:lineRule="auto"/>
        <w:ind w:left="284"/>
        <w:rPr>
          <w:rFonts w:cstheme="minorHAnsi"/>
          <w:i/>
          <w:iCs/>
          <w:color w:val="000000"/>
        </w:rPr>
      </w:pPr>
      <w:r w:rsidRPr="003057AB">
        <w:rPr>
          <w:rFonts w:cstheme="minorHAnsi"/>
          <w:b/>
          <w:bCs/>
          <w:i/>
          <w:iCs/>
          <w:color w:val="000000"/>
        </w:rPr>
        <w:t xml:space="preserve">ARTÍCULO 33. </w:t>
      </w:r>
      <w:r w:rsidRPr="003057AB">
        <w:rPr>
          <w:rFonts w:cstheme="minorHAnsi"/>
          <w:i/>
          <w:iCs/>
          <w:color w:val="000000"/>
        </w:rPr>
        <w:t xml:space="preserve">El Secretario Técnico será nombrado y removido por el órgano de gobierno de la Secretaría Ejecutiva, por el voto favorable de cinco de sus miembros. Durará cinco años en su encargo y no podrá ser reelegido. </w:t>
      </w:r>
    </w:p>
    <w:p w14:paraId="345547DC" w14:textId="77777777" w:rsidR="003057AB" w:rsidRPr="003057AB" w:rsidRDefault="003057AB" w:rsidP="003057AB">
      <w:pPr>
        <w:pStyle w:val="Sinespaciado"/>
        <w:ind w:left="284"/>
        <w:jc w:val="both"/>
        <w:rPr>
          <w:rFonts w:cstheme="minorHAnsi"/>
          <w:i/>
          <w:iCs/>
          <w:color w:val="000000"/>
        </w:rPr>
      </w:pPr>
    </w:p>
    <w:p w14:paraId="55E458C6" w14:textId="2ECDE910" w:rsidR="003057AB" w:rsidRDefault="003057AB" w:rsidP="003057AB">
      <w:pPr>
        <w:spacing w:after="0" w:line="240" w:lineRule="auto"/>
        <w:ind w:left="284"/>
        <w:jc w:val="both"/>
        <w:rPr>
          <w:rFonts w:asciiTheme="minorHAnsi" w:hAnsiTheme="minorHAnsi"/>
          <w:sz w:val="24"/>
          <w:szCs w:val="24"/>
        </w:rPr>
      </w:pPr>
      <w:r w:rsidRPr="003057AB">
        <w:rPr>
          <w:rFonts w:cstheme="minorHAnsi"/>
          <w:i/>
          <w:iCs/>
          <w:color w:val="000000"/>
        </w:rPr>
        <w:t xml:space="preserve">Para efectos del párrafo anterior, </w:t>
      </w:r>
      <w:r w:rsidRPr="003057AB">
        <w:rPr>
          <w:rFonts w:cstheme="minorHAnsi"/>
          <w:i/>
          <w:iCs/>
          <w:color w:val="000000"/>
          <w:u w:val="single"/>
        </w:rPr>
        <w:t>el</w:t>
      </w:r>
      <w:r w:rsidR="00B069C6">
        <w:rPr>
          <w:rFonts w:cstheme="minorHAnsi"/>
          <w:i/>
          <w:iCs/>
          <w:color w:val="000000"/>
          <w:u w:val="single"/>
        </w:rPr>
        <w:t xml:space="preserve"> </w:t>
      </w:r>
      <w:r w:rsidRPr="003057AB">
        <w:rPr>
          <w:rFonts w:cstheme="minorHAnsi"/>
          <w:i/>
          <w:iCs/>
          <w:color w:val="000000"/>
          <w:u w:val="single"/>
        </w:rPr>
        <w:t>Presidente del órgano de gobierno, previa aprobación del Comité Estatal de Participación Ciudadana, someterá al mismo una terna de personas que cumplan los requisitos</w:t>
      </w:r>
      <w:r w:rsidRPr="003057AB">
        <w:rPr>
          <w:rFonts w:cstheme="minorHAnsi"/>
          <w:i/>
          <w:iCs/>
          <w:color w:val="000000"/>
        </w:rPr>
        <w:t xml:space="preserve"> para ser designado Secretario Técnico, de conformidad con la presente Ley.</w:t>
      </w:r>
    </w:p>
    <w:p w14:paraId="217B0167" w14:textId="77777777" w:rsidR="003057AB" w:rsidRDefault="003057AB" w:rsidP="005A234B">
      <w:pPr>
        <w:spacing w:after="0"/>
        <w:jc w:val="both"/>
        <w:rPr>
          <w:rFonts w:asciiTheme="minorHAnsi" w:hAnsiTheme="minorHAnsi"/>
          <w:sz w:val="24"/>
          <w:szCs w:val="24"/>
        </w:rPr>
      </w:pPr>
    </w:p>
    <w:p w14:paraId="15BA0AE0" w14:textId="26F21E32" w:rsidR="003057AB" w:rsidRPr="00E86EDB" w:rsidRDefault="003057AB" w:rsidP="005A234B">
      <w:pPr>
        <w:spacing w:after="0"/>
        <w:jc w:val="both"/>
        <w:rPr>
          <w:rFonts w:cstheme="minorHAnsi"/>
          <w:sz w:val="24"/>
          <w:szCs w:val="24"/>
        </w:rPr>
      </w:pPr>
      <w:r>
        <w:rPr>
          <w:rFonts w:asciiTheme="minorHAnsi" w:hAnsiTheme="minorHAnsi"/>
          <w:sz w:val="24"/>
          <w:szCs w:val="24"/>
        </w:rPr>
        <w:t xml:space="preserve">Intervino </w:t>
      </w:r>
      <w:r w:rsidR="00A27D00" w:rsidRPr="00BE1534">
        <w:rPr>
          <w:rFonts w:asciiTheme="minorHAnsi" w:hAnsiTheme="minorHAnsi"/>
          <w:sz w:val="24"/>
          <w:szCs w:val="24"/>
        </w:rPr>
        <w:t>CLB</w:t>
      </w:r>
      <w:r>
        <w:rPr>
          <w:rFonts w:asciiTheme="minorHAnsi" w:hAnsiTheme="minorHAnsi"/>
          <w:sz w:val="24"/>
          <w:szCs w:val="24"/>
        </w:rPr>
        <w:t xml:space="preserve"> para hacer notar que </w:t>
      </w:r>
      <w:r w:rsidR="001B7217">
        <w:rPr>
          <w:rFonts w:asciiTheme="minorHAnsi" w:hAnsiTheme="minorHAnsi"/>
          <w:sz w:val="24"/>
          <w:szCs w:val="24"/>
        </w:rPr>
        <w:t>el</w:t>
      </w:r>
      <w:r w:rsidR="001B7217" w:rsidRPr="000C6BD4">
        <w:rPr>
          <w:rFonts w:asciiTheme="minorHAnsi" w:hAnsiTheme="minorHAnsi"/>
          <w:sz w:val="24"/>
          <w:szCs w:val="24"/>
        </w:rPr>
        <w:t xml:space="preserve"> </w:t>
      </w:r>
      <w:r w:rsidR="001B7217" w:rsidRPr="00E86EDB">
        <w:rPr>
          <w:rFonts w:cstheme="minorHAnsi"/>
          <w:sz w:val="24"/>
          <w:szCs w:val="24"/>
        </w:rPr>
        <w:t>Estatuto Orgánico de la Secretaría Ejecutiva del Sistema Estatal Anticorrupción prevé la sustitución del Secretario Técnico por ausencia temporal en los siguientes términos:</w:t>
      </w:r>
    </w:p>
    <w:p w14:paraId="0E2339B0" w14:textId="7868C1E4" w:rsidR="001B7217" w:rsidRDefault="001B7217" w:rsidP="005A234B">
      <w:pPr>
        <w:spacing w:after="0"/>
        <w:jc w:val="both"/>
        <w:rPr>
          <w:rFonts w:cstheme="minorHAnsi"/>
        </w:rPr>
      </w:pPr>
    </w:p>
    <w:p w14:paraId="40B3C294" w14:textId="77777777" w:rsidR="001B7217" w:rsidRPr="001B7217" w:rsidRDefault="001B7217" w:rsidP="001B7217">
      <w:pPr>
        <w:pStyle w:val="Sinespaciado"/>
        <w:ind w:left="284"/>
        <w:jc w:val="both"/>
        <w:rPr>
          <w:rFonts w:cstheme="minorHAnsi"/>
          <w:i/>
          <w:iCs/>
        </w:rPr>
      </w:pPr>
      <w:r w:rsidRPr="001B7217">
        <w:rPr>
          <w:rFonts w:cstheme="minorHAnsi"/>
          <w:b/>
          <w:bCs/>
          <w:i/>
          <w:iCs/>
        </w:rPr>
        <w:t>ARTÍCULO 38.</w:t>
      </w:r>
      <w:r w:rsidRPr="001B7217">
        <w:rPr>
          <w:rFonts w:cstheme="minorHAnsi"/>
          <w:i/>
          <w:iCs/>
        </w:rPr>
        <w:t xml:space="preserve"> En los casos de ausencia temporal, las personas servidoras públicas adscritas a la Secretaría Ejecutiva serán suplidas en los términos siguientes:</w:t>
      </w:r>
    </w:p>
    <w:p w14:paraId="4B3C728B" w14:textId="77777777" w:rsidR="001B7217" w:rsidRPr="001B7217" w:rsidRDefault="001B7217" w:rsidP="001B7217">
      <w:pPr>
        <w:pStyle w:val="Sinespaciado"/>
        <w:ind w:left="284"/>
        <w:jc w:val="both"/>
        <w:rPr>
          <w:rFonts w:cstheme="minorHAnsi"/>
          <w:i/>
          <w:iCs/>
        </w:rPr>
      </w:pPr>
    </w:p>
    <w:p w14:paraId="65E3476E" w14:textId="4145026E" w:rsidR="001B7217" w:rsidRPr="001B7217" w:rsidRDefault="001B7217" w:rsidP="001B7217">
      <w:pPr>
        <w:spacing w:after="0" w:line="240" w:lineRule="auto"/>
        <w:ind w:left="454" w:hanging="170"/>
        <w:jc w:val="both"/>
        <w:rPr>
          <w:rFonts w:asciiTheme="minorHAnsi" w:hAnsiTheme="minorHAnsi"/>
          <w:i/>
          <w:iCs/>
          <w:sz w:val="24"/>
          <w:szCs w:val="24"/>
        </w:rPr>
      </w:pPr>
      <w:r w:rsidRPr="001B7217">
        <w:rPr>
          <w:rFonts w:cstheme="minorHAnsi"/>
          <w:b/>
          <w:bCs/>
          <w:i/>
          <w:iCs/>
        </w:rPr>
        <w:t>I.</w:t>
      </w:r>
      <w:r w:rsidRPr="001B7217">
        <w:rPr>
          <w:rFonts w:cstheme="minorHAnsi"/>
          <w:i/>
          <w:iCs/>
        </w:rPr>
        <w:t xml:space="preserve"> La ausencia de la o el Secretario Técnico será suplida por la o el Titular de la Unidad de Riesgos, Evaluación y Políticas Públicas, por la Titular de la Unidad de Servicios Tecnológicos y Plataforma Digital, por la Dirección o Director de Asuntos Jurídicos y por la Directora o Director de Administración, en ese orden…</w:t>
      </w:r>
    </w:p>
    <w:p w14:paraId="389EE13A" w14:textId="77777777" w:rsidR="003057AB" w:rsidRPr="001B7217" w:rsidRDefault="003057AB" w:rsidP="005A234B">
      <w:pPr>
        <w:spacing w:after="0"/>
        <w:jc w:val="both"/>
        <w:rPr>
          <w:rFonts w:asciiTheme="minorHAnsi" w:hAnsiTheme="minorHAnsi"/>
          <w:sz w:val="24"/>
          <w:szCs w:val="24"/>
        </w:rPr>
      </w:pPr>
    </w:p>
    <w:p w14:paraId="0050E234" w14:textId="7F04A812" w:rsidR="001B7217" w:rsidRDefault="001B7217" w:rsidP="005A234B">
      <w:pPr>
        <w:spacing w:after="0"/>
        <w:jc w:val="both"/>
        <w:rPr>
          <w:rFonts w:asciiTheme="minorHAnsi" w:hAnsiTheme="minorHAnsi"/>
          <w:sz w:val="24"/>
          <w:szCs w:val="24"/>
        </w:rPr>
      </w:pPr>
      <w:r>
        <w:rPr>
          <w:rFonts w:asciiTheme="minorHAnsi" w:hAnsiTheme="minorHAnsi"/>
          <w:sz w:val="24"/>
          <w:szCs w:val="24"/>
        </w:rPr>
        <w:t xml:space="preserve">Los integrantes del CEPC revisaron la nómina vigente de la Secretaría Ejecutiva para integrar una terna que deberá ser propuesta al Órgano de Gobierno de la Secretaría Ejecutiva para seleccionar a quien </w:t>
      </w:r>
      <w:r w:rsidR="00CF54B9">
        <w:rPr>
          <w:rFonts w:asciiTheme="minorHAnsi" w:hAnsiTheme="minorHAnsi"/>
          <w:sz w:val="24"/>
          <w:szCs w:val="24"/>
        </w:rPr>
        <w:t>deba encargarse provisionalmente</w:t>
      </w:r>
      <w:r>
        <w:rPr>
          <w:rFonts w:asciiTheme="minorHAnsi" w:hAnsiTheme="minorHAnsi"/>
          <w:sz w:val="24"/>
          <w:szCs w:val="24"/>
        </w:rPr>
        <w:t xml:space="preserve"> del despacho, concluyendo que la primera persona en orden de prelación establecida por el Estatuto Orgánico no está disponible debido a que la Unidad de Riesgos, Evaluación y Políticas Públicas se encuentra sin titular desde hace </w:t>
      </w:r>
      <w:r w:rsidR="00463757">
        <w:rPr>
          <w:rFonts w:asciiTheme="minorHAnsi" w:hAnsiTheme="minorHAnsi"/>
          <w:sz w:val="24"/>
          <w:szCs w:val="24"/>
        </w:rPr>
        <w:t xml:space="preserve">varios </w:t>
      </w:r>
      <w:r>
        <w:rPr>
          <w:rFonts w:asciiTheme="minorHAnsi" w:hAnsiTheme="minorHAnsi"/>
          <w:sz w:val="24"/>
          <w:szCs w:val="24"/>
        </w:rPr>
        <w:t>meses, situación que ha sido calificada como poco deseable por el propio CEPC, quien así lo manifestó al entonces Secretario Técnico.</w:t>
      </w:r>
    </w:p>
    <w:p w14:paraId="1CAECA34" w14:textId="788FE562" w:rsidR="001B7217" w:rsidRDefault="001B7217" w:rsidP="005A234B">
      <w:pPr>
        <w:spacing w:after="0"/>
        <w:jc w:val="both"/>
        <w:rPr>
          <w:rFonts w:asciiTheme="minorHAnsi" w:hAnsiTheme="minorHAnsi"/>
          <w:sz w:val="24"/>
          <w:szCs w:val="24"/>
        </w:rPr>
      </w:pPr>
    </w:p>
    <w:p w14:paraId="435FDF28" w14:textId="36D23B24" w:rsidR="001B7217" w:rsidRDefault="001B7217" w:rsidP="005A234B">
      <w:pPr>
        <w:spacing w:after="0"/>
        <w:jc w:val="both"/>
        <w:rPr>
          <w:rFonts w:asciiTheme="minorHAnsi" w:hAnsiTheme="minorHAnsi"/>
          <w:sz w:val="24"/>
          <w:szCs w:val="24"/>
        </w:rPr>
      </w:pPr>
      <w:r>
        <w:rPr>
          <w:rFonts w:asciiTheme="minorHAnsi" w:hAnsiTheme="minorHAnsi"/>
          <w:sz w:val="24"/>
          <w:szCs w:val="24"/>
        </w:rPr>
        <w:t>Continúan en el orden de prelación mencionado las siguientes personas:</w:t>
      </w:r>
    </w:p>
    <w:p w14:paraId="1F4501D4" w14:textId="79C71B2D" w:rsidR="000F5EF4" w:rsidRPr="000F5EF4" w:rsidRDefault="000F5EF4" w:rsidP="000F5EF4">
      <w:pPr>
        <w:pStyle w:val="Sinespaciado"/>
        <w:numPr>
          <w:ilvl w:val="0"/>
          <w:numId w:val="17"/>
        </w:numPr>
        <w:jc w:val="both"/>
        <w:rPr>
          <w:rFonts w:asciiTheme="minorHAnsi" w:hAnsiTheme="minorHAnsi" w:cstheme="minorHAnsi"/>
          <w:sz w:val="24"/>
          <w:szCs w:val="24"/>
        </w:rPr>
      </w:pPr>
      <w:r w:rsidRPr="000F5EF4">
        <w:rPr>
          <w:rFonts w:asciiTheme="minorHAnsi" w:hAnsiTheme="minorHAnsi" w:cstheme="minorHAnsi"/>
          <w:sz w:val="24"/>
          <w:szCs w:val="24"/>
        </w:rPr>
        <w:t>Mtra. Janeth Bustamante Abdala, Titular de la Unidad de Servicios Tecnológicos y Plataforma Digital</w:t>
      </w:r>
    </w:p>
    <w:p w14:paraId="52E52A3A" w14:textId="5C6DFE2E" w:rsidR="000F5EF4" w:rsidRPr="000F5EF4" w:rsidRDefault="000F5EF4" w:rsidP="000F5EF4">
      <w:pPr>
        <w:pStyle w:val="Sinespaciado"/>
        <w:numPr>
          <w:ilvl w:val="0"/>
          <w:numId w:val="17"/>
        </w:numPr>
        <w:jc w:val="both"/>
        <w:rPr>
          <w:rFonts w:asciiTheme="minorHAnsi" w:hAnsiTheme="minorHAnsi" w:cstheme="minorHAnsi"/>
          <w:sz w:val="24"/>
          <w:szCs w:val="24"/>
        </w:rPr>
      </w:pPr>
      <w:r w:rsidRPr="000F5EF4">
        <w:rPr>
          <w:rFonts w:asciiTheme="minorHAnsi" w:hAnsiTheme="minorHAnsi" w:cstheme="minorHAnsi"/>
          <w:sz w:val="24"/>
          <w:szCs w:val="24"/>
        </w:rPr>
        <w:t>Lic. Salvador Flores Contreras, Director de Asuntos Jurídicos</w:t>
      </w:r>
    </w:p>
    <w:p w14:paraId="3A33A813" w14:textId="6E69AEAA" w:rsidR="001B7217" w:rsidRDefault="001B7217" w:rsidP="005A234B">
      <w:pPr>
        <w:spacing w:after="0"/>
        <w:jc w:val="both"/>
        <w:rPr>
          <w:rFonts w:asciiTheme="minorHAnsi" w:hAnsiTheme="minorHAnsi"/>
          <w:sz w:val="24"/>
          <w:szCs w:val="24"/>
        </w:rPr>
      </w:pPr>
    </w:p>
    <w:p w14:paraId="1AFEA46A" w14:textId="77777777" w:rsidR="00B069C6" w:rsidRDefault="00B069C6" w:rsidP="005A234B">
      <w:pPr>
        <w:spacing w:after="0"/>
        <w:jc w:val="both"/>
        <w:rPr>
          <w:rFonts w:asciiTheme="minorHAnsi" w:hAnsiTheme="minorHAnsi"/>
          <w:sz w:val="24"/>
          <w:szCs w:val="24"/>
        </w:rPr>
      </w:pPr>
    </w:p>
    <w:p w14:paraId="675E9309" w14:textId="29C3E070" w:rsidR="000F5EF4" w:rsidRDefault="000F5EF4" w:rsidP="005A234B">
      <w:pPr>
        <w:spacing w:after="0"/>
        <w:jc w:val="both"/>
        <w:rPr>
          <w:rFonts w:asciiTheme="minorHAnsi" w:hAnsiTheme="minorHAnsi"/>
          <w:sz w:val="24"/>
          <w:szCs w:val="24"/>
        </w:rPr>
      </w:pPr>
      <w:r>
        <w:rPr>
          <w:rFonts w:asciiTheme="minorHAnsi" w:hAnsiTheme="minorHAnsi"/>
          <w:sz w:val="24"/>
          <w:szCs w:val="24"/>
        </w:rPr>
        <w:t xml:space="preserve">En caso de requerirse una terna, </w:t>
      </w:r>
      <w:r w:rsidR="00ED0D9C" w:rsidRPr="00BE1534">
        <w:rPr>
          <w:rFonts w:asciiTheme="minorHAnsi" w:hAnsiTheme="minorHAnsi"/>
          <w:sz w:val="24"/>
          <w:szCs w:val="24"/>
        </w:rPr>
        <w:t>CLB</w:t>
      </w:r>
      <w:r>
        <w:rPr>
          <w:rFonts w:asciiTheme="minorHAnsi" w:hAnsiTheme="minorHAnsi"/>
          <w:sz w:val="24"/>
          <w:szCs w:val="24"/>
        </w:rPr>
        <w:t xml:space="preserve"> propuso considerar al Mtro. José Luis Salas Velázquez, Director de Transparencia, como una opción no prevista por el Estatuto Orgánico.</w:t>
      </w:r>
    </w:p>
    <w:p w14:paraId="2AF059E2" w14:textId="61B5054C" w:rsidR="000F5EF4" w:rsidRDefault="000F5EF4" w:rsidP="005A234B">
      <w:pPr>
        <w:spacing w:after="0"/>
        <w:jc w:val="both"/>
        <w:rPr>
          <w:rFonts w:asciiTheme="minorHAnsi" w:hAnsiTheme="minorHAnsi"/>
          <w:sz w:val="24"/>
          <w:szCs w:val="24"/>
        </w:rPr>
      </w:pPr>
    </w:p>
    <w:p w14:paraId="78991869" w14:textId="5AFAA130" w:rsidR="000F5EF4" w:rsidRDefault="000F5EF4" w:rsidP="005A234B">
      <w:pPr>
        <w:spacing w:after="0"/>
        <w:jc w:val="both"/>
        <w:rPr>
          <w:rFonts w:asciiTheme="minorHAnsi" w:hAnsiTheme="minorHAnsi"/>
          <w:sz w:val="24"/>
          <w:szCs w:val="24"/>
        </w:rPr>
      </w:pPr>
      <w:r>
        <w:rPr>
          <w:rFonts w:asciiTheme="minorHAnsi" w:hAnsiTheme="minorHAnsi"/>
          <w:sz w:val="24"/>
          <w:szCs w:val="24"/>
        </w:rPr>
        <w:t>Los integrantes del CEPC debatieron acerca de las consideraciones legales expuestas, concluyendo que eran justas y suficientes para soportar la propuesta que DVA debe</w:t>
      </w:r>
      <w:r w:rsidR="00CF54B9">
        <w:rPr>
          <w:rFonts w:asciiTheme="minorHAnsi" w:hAnsiTheme="minorHAnsi"/>
          <w:sz w:val="24"/>
          <w:szCs w:val="24"/>
        </w:rPr>
        <w:t>ría</w:t>
      </w:r>
      <w:r>
        <w:rPr>
          <w:rFonts w:asciiTheme="minorHAnsi" w:hAnsiTheme="minorHAnsi"/>
          <w:sz w:val="24"/>
          <w:szCs w:val="24"/>
        </w:rPr>
        <w:t xml:space="preserve"> llevar al Órgano de Gobierno en su calidad de presidente del mismo para resolver temporalmente la ausencia de Secretario Técnico en funciones.</w:t>
      </w:r>
    </w:p>
    <w:p w14:paraId="1BF87844" w14:textId="77777777" w:rsidR="001B7217" w:rsidRDefault="001B7217" w:rsidP="005A234B">
      <w:pPr>
        <w:spacing w:after="0"/>
        <w:jc w:val="both"/>
        <w:rPr>
          <w:rFonts w:asciiTheme="minorHAnsi" w:hAnsiTheme="minorHAnsi"/>
          <w:sz w:val="24"/>
          <w:szCs w:val="24"/>
        </w:rPr>
      </w:pPr>
    </w:p>
    <w:p w14:paraId="3A5FAD28" w14:textId="7CC7611C" w:rsidR="00053701" w:rsidRDefault="007C39DA" w:rsidP="005A234B">
      <w:pPr>
        <w:spacing w:after="0"/>
        <w:jc w:val="both"/>
        <w:rPr>
          <w:rFonts w:asciiTheme="minorHAnsi" w:hAnsiTheme="minorHAnsi"/>
          <w:sz w:val="24"/>
          <w:szCs w:val="24"/>
        </w:rPr>
      </w:pPr>
      <w:r w:rsidRPr="00B01AE8">
        <w:rPr>
          <w:rFonts w:asciiTheme="minorHAnsi" w:hAnsiTheme="minorHAnsi"/>
          <w:sz w:val="24"/>
          <w:szCs w:val="24"/>
        </w:rPr>
        <w:t>Agotado</w:t>
      </w:r>
      <w:r w:rsidR="00292C12" w:rsidRPr="00B01AE8">
        <w:rPr>
          <w:rFonts w:asciiTheme="minorHAnsi" w:hAnsiTheme="minorHAnsi"/>
          <w:sz w:val="24"/>
          <w:szCs w:val="24"/>
        </w:rPr>
        <w:t xml:space="preserve"> el análisis de este</w:t>
      </w:r>
      <w:r w:rsidRPr="00B01AE8">
        <w:rPr>
          <w:rFonts w:asciiTheme="minorHAnsi" w:hAnsiTheme="minorHAnsi"/>
          <w:sz w:val="24"/>
          <w:szCs w:val="24"/>
        </w:rPr>
        <w:t xml:space="preserve"> punto</w:t>
      </w:r>
      <w:r w:rsidR="000A19B9">
        <w:rPr>
          <w:rFonts w:asciiTheme="minorHAnsi" w:hAnsiTheme="minorHAnsi"/>
          <w:sz w:val="24"/>
          <w:szCs w:val="24"/>
        </w:rPr>
        <w:t>, s</w:t>
      </w:r>
      <w:r w:rsidR="00053701" w:rsidRPr="00BE1534">
        <w:rPr>
          <w:rFonts w:asciiTheme="minorHAnsi" w:hAnsiTheme="minorHAnsi"/>
          <w:sz w:val="24"/>
          <w:szCs w:val="24"/>
        </w:rPr>
        <w:t>e tom</w:t>
      </w:r>
      <w:r w:rsidR="000F5EF4">
        <w:rPr>
          <w:rFonts w:asciiTheme="minorHAnsi" w:hAnsiTheme="minorHAnsi"/>
          <w:sz w:val="24"/>
          <w:szCs w:val="24"/>
        </w:rPr>
        <w:t>aron</w:t>
      </w:r>
      <w:r w:rsidR="00053701" w:rsidRPr="00BE1534">
        <w:rPr>
          <w:rFonts w:asciiTheme="minorHAnsi" w:hAnsiTheme="minorHAnsi"/>
          <w:sz w:val="24"/>
          <w:szCs w:val="24"/>
        </w:rPr>
        <w:t xml:space="preserve"> l</w:t>
      </w:r>
      <w:r w:rsidR="000F5EF4">
        <w:rPr>
          <w:rFonts w:asciiTheme="minorHAnsi" w:hAnsiTheme="minorHAnsi"/>
          <w:sz w:val="24"/>
          <w:szCs w:val="24"/>
        </w:rPr>
        <w:t>os</w:t>
      </w:r>
      <w:r w:rsidR="00053701" w:rsidRPr="00BE1534">
        <w:rPr>
          <w:rFonts w:asciiTheme="minorHAnsi" w:hAnsiTheme="minorHAnsi"/>
          <w:sz w:val="24"/>
          <w:szCs w:val="24"/>
        </w:rPr>
        <w:t xml:space="preserve"> siguiente</w:t>
      </w:r>
      <w:r w:rsidR="000F5EF4">
        <w:rPr>
          <w:rFonts w:asciiTheme="minorHAnsi" w:hAnsiTheme="minorHAnsi"/>
          <w:sz w:val="24"/>
          <w:szCs w:val="24"/>
        </w:rPr>
        <w:t>s</w:t>
      </w:r>
      <w:r w:rsidR="00053701" w:rsidRPr="00BE1534">
        <w:rPr>
          <w:rFonts w:asciiTheme="minorHAnsi" w:hAnsiTheme="minorHAnsi"/>
          <w:sz w:val="24"/>
          <w:szCs w:val="24"/>
        </w:rPr>
        <w:t xml:space="preserve"> acuerdo</w:t>
      </w:r>
      <w:r w:rsidR="000F5EF4">
        <w:rPr>
          <w:rFonts w:asciiTheme="minorHAnsi" w:hAnsiTheme="minorHAnsi"/>
          <w:sz w:val="24"/>
          <w:szCs w:val="24"/>
        </w:rPr>
        <w:t>s</w:t>
      </w:r>
      <w:r w:rsidR="000A19B9">
        <w:rPr>
          <w:rFonts w:asciiTheme="minorHAnsi" w:hAnsiTheme="minorHAnsi"/>
          <w:sz w:val="24"/>
          <w:szCs w:val="24"/>
        </w:rPr>
        <w:t>:</w:t>
      </w:r>
    </w:p>
    <w:p w14:paraId="63A70644" w14:textId="19A845BB" w:rsidR="00AE3127" w:rsidRDefault="00AE3127" w:rsidP="005A234B">
      <w:pPr>
        <w:spacing w:after="0"/>
        <w:jc w:val="both"/>
        <w:rPr>
          <w:rFonts w:asciiTheme="minorHAnsi" w:hAnsiTheme="minorHAnsi"/>
          <w:sz w:val="24"/>
          <w:szCs w:val="24"/>
        </w:rPr>
      </w:pPr>
    </w:p>
    <w:p w14:paraId="76E1B32B" w14:textId="5A9C9EB7" w:rsidR="000F5EF4" w:rsidRDefault="00AE3127" w:rsidP="00AE3127">
      <w:pPr>
        <w:spacing w:after="0"/>
        <w:jc w:val="both"/>
        <w:rPr>
          <w:rFonts w:asciiTheme="minorHAnsi" w:hAnsiTheme="minorHAnsi"/>
          <w:b/>
          <w:sz w:val="24"/>
          <w:szCs w:val="24"/>
        </w:rPr>
      </w:pPr>
      <w:r w:rsidRPr="00F36041">
        <w:rPr>
          <w:rFonts w:asciiTheme="minorHAnsi" w:hAnsiTheme="minorHAnsi"/>
          <w:b/>
          <w:bCs/>
          <w:sz w:val="24"/>
          <w:szCs w:val="24"/>
        </w:rPr>
        <w:t>Acuerdo</w:t>
      </w:r>
      <w:r w:rsidRPr="00F36041">
        <w:rPr>
          <w:rFonts w:asciiTheme="minorHAnsi" w:hAnsiTheme="minorHAnsi"/>
          <w:b/>
          <w:sz w:val="24"/>
          <w:szCs w:val="24"/>
        </w:rPr>
        <w:t xml:space="preserve"> </w:t>
      </w:r>
      <w:r w:rsidR="00BB33CC">
        <w:rPr>
          <w:rFonts w:asciiTheme="minorHAnsi" w:hAnsiTheme="minorHAnsi"/>
          <w:b/>
          <w:sz w:val="24"/>
          <w:szCs w:val="24"/>
        </w:rPr>
        <w:t>13</w:t>
      </w:r>
      <w:r w:rsidR="002F0ECA" w:rsidRPr="00F36041">
        <w:rPr>
          <w:rFonts w:asciiTheme="minorHAnsi" w:hAnsiTheme="minorHAnsi"/>
          <w:b/>
          <w:sz w:val="24"/>
          <w:szCs w:val="24"/>
        </w:rPr>
        <w:t>0</w:t>
      </w:r>
      <w:r w:rsidR="000F5EF4">
        <w:rPr>
          <w:rFonts w:asciiTheme="minorHAnsi" w:hAnsiTheme="minorHAnsi"/>
          <w:b/>
          <w:sz w:val="24"/>
          <w:szCs w:val="24"/>
        </w:rPr>
        <w:t>7</w:t>
      </w:r>
      <w:r w:rsidRPr="00F36041">
        <w:rPr>
          <w:rFonts w:asciiTheme="minorHAnsi" w:hAnsiTheme="minorHAnsi"/>
          <w:b/>
          <w:sz w:val="24"/>
          <w:szCs w:val="24"/>
        </w:rPr>
        <w:t>2020-</w:t>
      </w:r>
      <w:r w:rsidR="00B069C6">
        <w:rPr>
          <w:rFonts w:asciiTheme="minorHAnsi" w:hAnsiTheme="minorHAnsi"/>
          <w:b/>
          <w:sz w:val="24"/>
          <w:szCs w:val="24"/>
        </w:rPr>
        <w:t>4</w:t>
      </w:r>
      <w:r w:rsidR="00EF797B">
        <w:rPr>
          <w:rFonts w:asciiTheme="minorHAnsi" w:hAnsiTheme="minorHAnsi"/>
          <w:b/>
          <w:sz w:val="24"/>
          <w:szCs w:val="24"/>
        </w:rPr>
        <w:t>8</w:t>
      </w:r>
      <w:r w:rsidRPr="00F36041">
        <w:rPr>
          <w:rFonts w:asciiTheme="minorHAnsi" w:hAnsiTheme="minorHAnsi"/>
          <w:b/>
          <w:sz w:val="24"/>
          <w:szCs w:val="24"/>
        </w:rPr>
        <w:t>-</w:t>
      </w:r>
      <w:r w:rsidR="00EF797B">
        <w:rPr>
          <w:rFonts w:asciiTheme="minorHAnsi" w:hAnsiTheme="minorHAnsi"/>
          <w:b/>
          <w:sz w:val="24"/>
          <w:szCs w:val="24"/>
        </w:rPr>
        <w:t>73</w:t>
      </w:r>
      <w:r>
        <w:rPr>
          <w:rFonts w:asciiTheme="minorHAnsi" w:hAnsiTheme="minorHAnsi"/>
          <w:b/>
          <w:sz w:val="24"/>
          <w:szCs w:val="24"/>
        </w:rPr>
        <w:t xml:space="preserve"> </w:t>
      </w:r>
      <w:r w:rsidR="00F572B6">
        <w:rPr>
          <w:rFonts w:asciiTheme="minorHAnsi" w:hAnsiTheme="minorHAnsi"/>
          <w:b/>
          <w:sz w:val="24"/>
          <w:szCs w:val="24"/>
        </w:rPr>
        <w:t>–</w:t>
      </w:r>
      <w:r w:rsidRPr="00BE1534">
        <w:rPr>
          <w:rFonts w:asciiTheme="minorHAnsi" w:hAnsiTheme="minorHAnsi"/>
          <w:b/>
          <w:sz w:val="24"/>
          <w:szCs w:val="24"/>
        </w:rPr>
        <w:t xml:space="preserve"> </w:t>
      </w:r>
      <w:r w:rsidR="003D0F19">
        <w:rPr>
          <w:rFonts w:asciiTheme="minorHAnsi" w:hAnsiTheme="minorHAnsi"/>
          <w:b/>
          <w:sz w:val="24"/>
          <w:szCs w:val="24"/>
        </w:rPr>
        <w:t xml:space="preserve">Los integrantes del CEPC </w:t>
      </w:r>
      <w:r w:rsidR="00AE14CA">
        <w:rPr>
          <w:rFonts w:asciiTheme="minorHAnsi" w:hAnsiTheme="minorHAnsi"/>
          <w:b/>
          <w:sz w:val="24"/>
          <w:szCs w:val="24"/>
        </w:rPr>
        <w:t xml:space="preserve">acuerdan </w:t>
      </w:r>
      <w:r w:rsidR="000F5EF4">
        <w:rPr>
          <w:rFonts w:asciiTheme="minorHAnsi" w:hAnsiTheme="minorHAnsi"/>
          <w:b/>
          <w:sz w:val="24"/>
          <w:szCs w:val="24"/>
        </w:rPr>
        <w:t>la integración de una terna que será propuesta por DVA al Órgano de Gobierno de la Secretaría Ejecutiva del SEA; dicha terna incluirá a las siguientes personas:</w:t>
      </w:r>
    </w:p>
    <w:p w14:paraId="656DBDA8" w14:textId="77777777" w:rsidR="000F5EF4" w:rsidRPr="000F5EF4" w:rsidRDefault="000F5EF4" w:rsidP="000F5EF4">
      <w:pPr>
        <w:pStyle w:val="Sinespaciado"/>
        <w:numPr>
          <w:ilvl w:val="0"/>
          <w:numId w:val="17"/>
        </w:numPr>
        <w:jc w:val="both"/>
        <w:rPr>
          <w:rFonts w:asciiTheme="minorHAnsi" w:hAnsiTheme="minorHAnsi" w:cstheme="minorHAnsi"/>
          <w:b/>
          <w:bCs/>
          <w:sz w:val="24"/>
          <w:szCs w:val="24"/>
        </w:rPr>
      </w:pPr>
      <w:r w:rsidRPr="000F5EF4">
        <w:rPr>
          <w:rFonts w:asciiTheme="minorHAnsi" w:hAnsiTheme="minorHAnsi" w:cstheme="minorHAnsi"/>
          <w:b/>
          <w:bCs/>
          <w:sz w:val="24"/>
          <w:szCs w:val="24"/>
        </w:rPr>
        <w:t>Mtra. Janeth Bustamante Abdala, Titular de la Unidad de Servicios Tecnológicos y Plataforma Digital</w:t>
      </w:r>
    </w:p>
    <w:p w14:paraId="3E11D2F0" w14:textId="4CD61329" w:rsidR="000F5EF4" w:rsidRPr="000F5EF4" w:rsidRDefault="000F5EF4" w:rsidP="000F5EF4">
      <w:pPr>
        <w:pStyle w:val="Sinespaciado"/>
        <w:numPr>
          <w:ilvl w:val="0"/>
          <w:numId w:val="17"/>
        </w:numPr>
        <w:jc w:val="both"/>
        <w:rPr>
          <w:rFonts w:asciiTheme="minorHAnsi" w:hAnsiTheme="minorHAnsi" w:cstheme="minorHAnsi"/>
          <w:b/>
          <w:bCs/>
          <w:sz w:val="24"/>
          <w:szCs w:val="24"/>
        </w:rPr>
      </w:pPr>
      <w:r w:rsidRPr="000F5EF4">
        <w:rPr>
          <w:rFonts w:asciiTheme="minorHAnsi" w:hAnsiTheme="minorHAnsi" w:cstheme="minorHAnsi"/>
          <w:b/>
          <w:bCs/>
          <w:sz w:val="24"/>
          <w:szCs w:val="24"/>
        </w:rPr>
        <w:t>Lic. Salvador Flores Contreras, Director de Asuntos Jurídicos</w:t>
      </w:r>
    </w:p>
    <w:p w14:paraId="4BA9DACB" w14:textId="4CBA7AD2" w:rsidR="000F5EF4" w:rsidRPr="000F5EF4" w:rsidRDefault="000F5EF4" w:rsidP="000F5EF4">
      <w:pPr>
        <w:pStyle w:val="Sinespaciado"/>
        <w:numPr>
          <w:ilvl w:val="0"/>
          <w:numId w:val="17"/>
        </w:numPr>
        <w:jc w:val="both"/>
        <w:rPr>
          <w:rFonts w:cstheme="minorHAnsi"/>
          <w:b/>
          <w:bCs/>
        </w:rPr>
      </w:pPr>
      <w:r w:rsidRPr="000F5EF4">
        <w:rPr>
          <w:rFonts w:asciiTheme="minorHAnsi" w:hAnsiTheme="minorHAnsi" w:cstheme="minorHAnsi"/>
          <w:b/>
          <w:bCs/>
          <w:sz w:val="24"/>
          <w:szCs w:val="24"/>
        </w:rPr>
        <w:t>Mtro. José Luis Salas Velázquez, Director de Transparencia</w:t>
      </w:r>
    </w:p>
    <w:p w14:paraId="7DEF38EF" w14:textId="77777777" w:rsidR="00C44F04" w:rsidRDefault="00C44F04" w:rsidP="00AE3127">
      <w:pPr>
        <w:spacing w:after="0"/>
        <w:jc w:val="both"/>
        <w:rPr>
          <w:rFonts w:asciiTheme="minorHAnsi" w:hAnsiTheme="minorHAnsi"/>
          <w:b/>
          <w:sz w:val="24"/>
          <w:szCs w:val="24"/>
        </w:rPr>
      </w:pPr>
    </w:p>
    <w:p w14:paraId="63C55DC4" w14:textId="7B225DC3" w:rsidR="00AE3127" w:rsidRDefault="000F5EF4" w:rsidP="00AE3127">
      <w:pPr>
        <w:spacing w:after="0"/>
        <w:jc w:val="both"/>
        <w:rPr>
          <w:rFonts w:asciiTheme="minorHAnsi" w:hAnsiTheme="minorHAnsi"/>
          <w:b/>
          <w:sz w:val="24"/>
          <w:szCs w:val="24"/>
        </w:rPr>
      </w:pPr>
      <w:r>
        <w:rPr>
          <w:rFonts w:asciiTheme="minorHAnsi" w:hAnsiTheme="minorHAnsi"/>
          <w:b/>
          <w:sz w:val="24"/>
          <w:szCs w:val="24"/>
        </w:rPr>
        <w:t xml:space="preserve">Acuerdo </w:t>
      </w:r>
      <w:r w:rsidR="00BB33CC">
        <w:rPr>
          <w:rFonts w:asciiTheme="minorHAnsi" w:hAnsiTheme="minorHAnsi"/>
          <w:b/>
          <w:sz w:val="24"/>
          <w:szCs w:val="24"/>
        </w:rPr>
        <w:t>13</w:t>
      </w:r>
      <w:r>
        <w:rPr>
          <w:rFonts w:asciiTheme="minorHAnsi" w:hAnsiTheme="minorHAnsi"/>
          <w:b/>
          <w:sz w:val="24"/>
          <w:szCs w:val="24"/>
        </w:rPr>
        <w:t>072020-</w:t>
      </w:r>
      <w:r w:rsidR="00B069C6">
        <w:rPr>
          <w:rFonts w:asciiTheme="minorHAnsi" w:hAnsiTheme="minorHAnsi"/>
          <w:b/>
          <w:sz w:val="24"/>
          <w:szCs w:val="24"/>
        </w:rPr>
        <w:t>4</w:t>
      </w:r>
      <w:r w:rsidR="007D4A8F">
        <w:rPr>
          <w:rFonts w:asciiTheme="minorHAnsi" w:hAnsiTheme="minorHAnsi"/>
          <w:b/>
          <w:sz w:val="24"/>
          <w:szCs w:val="24"/>
        </w:rPr>
        <w:t>8</w:t>
      </w:r>
      <w:r>
        <w:rPr>
          <w:rFonts w:asciiTheme="minorHAnsi" w:hAnsiTheme="minorHAnsi"/>
          <w:b/>
          <w:sz w:val="24"/>
          <w:szCs w:val="24"/>
        </w:rPr>
        <w:t>-</w:t>
      </w:r>
      <w:r w:rsidR="007D4A8F">
        <w:rPr>
          <w:rFonts w:asciiTheme="minorHAnsi" w:hAnsiTheme="minorHAnsi"/>
          <w:b/>
          <w:sz w:val="24"/>
          <w:szCs w:val="24"/>
        </w:rPr>
        <w:t>74</w:t>
      </w:r>
      <w:r>
        <w:rPr>
          <w:rFonts w:asciiTheme="minorHAnsi" w:hAnsiTheme="minorHAnsi"/>
          <w:b/>
          <w:sz w:val="24"/>
          <w:szCs w:val="24"/>
        </w:rPr>
        <w:t xml:space="preserve"> – DVA deberá convocar de inmediato a reunión extraordinaria del Órgano de Gobierno de la Secretaría Ejecutiva del SEA para proponer la selección de una persona encargada del despacho del Secretario Técnico mientras concluye el P</w:t>
      </w:r>
      <w:r w:rsidR="00AA2CEA">
        <w:rPr>
          <w:rFonts w:asciiTheme="minorHAnsi" w:hAnsiTheme="minorHAnsi"/>
          <w:b/>
          <w:sz w:val="24"/>
          <w:szCs w:val="24"/>
        </w:rPr>
        <w:t>roceso de selección de una terna al que ha convocado recientemente el CEPC</w:t>
      </w:r>
      <w:r w:rsidR="001B651E">
        <w:rPr>
          <w:rFonts w:asciiTheme="minorHAnsi" w:hAnsiTheme="minorHAnsi"/>
          <w:b/>
          <w:sz w:val="24"/>
          <w:szCs w:val="24"/>
        </w:rPr>
        <w:t>.</w:t>
      </w:r>
    </w:p>
    <w:p w14:paraId="0DBEF10E" w14:textId="71325D9B" w:rsidR="00292C12" w:rsidRDefault="00292C12" w:rsidP="005A234B">
      <w:pPr>
        <w:spacing w:after="0"/>
        <w:jc w:val="both"/>
        <w:rPr>
          <w:rFonts w:asciiTheme="minorHAnsi" w:hAnsiTheme="minorHAnsi"/>
          <w:sz w:val="24"/>
          <w:szCs w:val="24"/>
        </w:rPr>
      </w:pPr>
    </w:p>
    <w:p w14:paraId="35AA4E26" w14:textId="5D68117F"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0A19B9">
        <w:rPr>
          <w:rFonts w:asciiTheme="minorHAnsi" w:hAnsiTheme="minorHAnsi"/>
          <w:sz w:val="24"/>
          <w:szCs w:val="24"/>
        </w:rPr>
        <w:t>,</w:t>
      </w:r>
      <w:r w:rsidRPr="00BE1534">
        <w:rPr>
          <w:rFonts w:asciiTheme="minorHAnsi" w:hAnsiTheme="minorHAnsi"/>
          <w:sz w:val="24"/>
          <w:szCs w:val="24"/>
        </w:rPr>
        <w:t xml:space="preserve"> siendo las </w:t>
      </w:r>
      <w:r w:rsidR="003D22FE">
        <w:rPr>
          <w:rFonts w:asciiTheme="minorHAnsi" w:hAnsiTheme="minorHAnsi"/>
          <w:sz w:val="24"/>
          <w:szCs w:val="24"/>
        </w:rPr>
        <w:t>1</w:t>
      </w:r>
      <w:r w:rsidR="00AA2CEA">
        <w:rPr>
          <w:rFonts w:asciiTheme="minorHAnsi" w:hAnsiTheme="minorHAnsi"/>
          <w:sz w:val="24"/>
          <w:szCs w:val="24"/>
        </w:rPr>
        <w:t>1</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AA2CEA">
        <w:rPr>
          <w:rFonts w:asciiTheme="minorHAnsi" w:hAnsiTheme="minorHAnsi"/>
          <w:sz w:val="24"/>
          <w:szCs w:val="24"/>
        </w:rPr>
        <w:t>3</w:t>
      </w:r>
      <w:r w:rsidR="00E672D3">
        <w:rPr>
          <w:rFonts w:asciiTheme="minorHAnsi" w:hAnsiTheme="minorHAnsi"/>
          <w:sz w:val="24"/>
          <w:szCs w:val="24"/>
        </w:rPr>
        <w:t>0</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inici</w:t>
      </w:r>
      <w:r w:rsidR="000A19B9">
        <w:rPr>
          <w:rFonts w:asciiTheme="minorHAnsi" w:hAnsiTheme="minorHAnsi"/>
          <w:sz w:val="24"/>
          <w:szCs w:val="24"/>
        </w:rPr>
        <w:t>o,</w:t>
      </w:r>
      <w:r w:rsidRPr="00BE1534">
        <w:rPr>
          <w:rFonts w:asciiTheme="minorHAnsi" w:hAnsiTheme="minorHAnsi"/>
          <w:sz w:val="24"/>
          <w:szCs w:val="24"/>
        </w:rPr>
        <w:t xml:space="preserve"> se </w:t>
      </w:r>
      <w:r w:rsidR="00291B9A" w:rsidRPr="00BE1534">
        <w:rPr>
          <w:rFonts w:asciiTheme="minorHAnsi" w:hAnsiTheme="minorHAnsi"/>
          <w:sz w:val="24"/>
          <w:szCs w:val="24"/>
        </w:rPr>
        <w:t>di</w:t>
      </w:r>
      <w:r w:rsidR="00AA2CEA">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0D5E7E3F" w14:textId="77777777" w:rsidR="00D513DF" w:rsidRDefault="00D513DF" w:rsidP="005A234B">
      <w:pPr>
        <w:spacing w:after="0"/>
        <w:jc w:val="both"/>
        <w:rPr>
          <w:rFonts w:asciiTheme="minorHAnsi" w:hAnsiTheme="minorHAnsi"/>
          <w:sz w:val="24"/>
          <w:szCs w:val="24"/>
        </w:rPr>
      </w:pPr>
    </w:p>
    <w:p w14:paraId="2676016E" w14:textId="0FC4EC9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07802287" w14:textId="501AC6AC" w:rsidR="00F2468B" w:rsidRDefault="00F2468B" w:rsidP="005A234B">
      <w:pPr>
        <w:spacing w:after="0"/>
        <w:jc w:val="both"/>
        <w:rPr>
          <w:rFonts w:asciiTheme="minorHAnsi" w:hAnsiTheme="minorHAnsi"/>
          <w:sz w:val="24"/>
          <w:szCs w:val="24"/>
        </w:rPr>
      </w:pPr>
    </w:p>
    <w:p w14:paraId="03EEFCF0" w14:textId="21CAD909" w:rsidR="004F04C1" w:rsidRDefault="004F04C1" w:rsidP="005A234B">
      <w:pPr>
        <w:spacing w:after="0"/>
        <w:jc w:val="both"/>
        <w:rPr>
          <w:rFonts w:asciiTheme="minorHAnsi" w:hAnsiTheme="minorHAnsi"/>
          <w:sz w:val="24"/>
          <w:szCs w:val="24"/>
        </w:rPr>
      </w:pPr>
    </w:p>
    <w:p w14:paraId="7DF4E21E" w14:textId="36938D6A" w:rsidR="007824C5" w:rsidRDefault="007824C5" w:rsidP="005A234B">
      <w:pPr>
        <w:spacing w:after="0"/>
        <w:jc w:val="both"/>
        <w:rPr>
          <w:rFonts w:asciiTheme="minorHAnsi" w:hAnsiTheme="minorHAnsi"/>
          <w:sz w:val="24"/>
          <w:szCs w:val="24"/>
        </w:rPr>
      </w:pPr>
    </w:p>
    <w:p w14:paraId="55A4E05E" w14:textId="31404D37" w:rsidR="007824C5" w:rsidRDefault="007824C5" w:rsidP="005A234B">
      <w:pPr>
        <w:spacing w:after="0"/>
        <w:jc w:val="both"/>
        <w:rPr>
          <w:rFonts w:asciiTheme="minorHAnsi" w:hAnsiTheme="minorHAnsi"/>
          <w:sz w:val="24"/>
          <w:szCs w:val="24"/>
        </w:rPr>
      </w:pPr>
    </w:p>
    <w:p w14:paraId="0ADF135F" w14:textId="2AF6D591" w:rsidR="007824C5" w:rsidRDefault="007824C5" w:rsidP="005A234B">
      <w:pPr>
        <w:spacing w:after="0"/>
        <w:jc w:val="both"/>
        <w:rPr>
          <w:rFonts w:asciiTheme="minorHAnsi" w:hAnsiTheme="minorHAnsi"/>
          <w:sz w:val="24"/>
          <w:szCs w:val="24"/>
        </w:rPr>
      </w:pPr>
    </w:p>
    <w:p w14:paraId="5A6BDC0A" w14:textId="76E54698" w:rsidR="007824C5" w:rsidRDefault="007824C5" w:rsidP="005A234B">
      <w:pPr>
        <w:spacing w:after="0"/>
        <w:jc w:val="both"/>
        <w:rPr>
          <w:rFonts w:asciiTheme="minorHAnsi" w:hAnsiTheme="minorHAnsi"/>
          <w:sz w:val="24"/>
          <w:szCs w:val="24"/>
        </w:rPr>
      </w:pPr>
    </w:p>
    <w:p w14:paraId="54D222B0" w14:textId="1C89A251" w:rsidR="007824C5" w:rsidRDefault="007824C5" w:rsidP="005A234B">
      <w:pPr>
        <w:spacing w:after="0"/>
        <w:jc w:val="both"/>
        <w:rPr>
          <w:rFonts w:asciiTheme="minorHAnsi" w:hAnsiTheme="minorHAnsi"/>
          <w:sz w:val="24"/>
          <w:szCs w:val="24"/>
        </w:rPr>
      </w:pPr>
    </w:p>
    <w:p w14:paraId="6724B1E0" w14:textId="05C8BDEA" w:rsidR="007824C5" w:rsidRDefault="007824C5" w:rsidP="005A234B">
      <w:pPr>
        <w:spacing w:after="0"/>
        <w:jc w:val="both"/>
        <w:rPr>
          <w:rFonts w:asciiTheme="minorHAnsi" w:hAnsiTheme="minorHAnsi"/>
          <w:sz w:val="24"/>
          <w:szCs w:val="24"/>
        </w:rPr>
      </w:pPr>
    </w:p>
    <w:p w14:paraId="012A5DD4" w14:textId="515E3ABF" w:rsidR="007824C5" w:rsidRDefault="007824C5" w:rsidP="005A234B">
      <w:pPr>
        <w:spacing w:after="0"/>
        <w:jc w:val="both"/>
        <w:rPr>
          <w:rFonts w:asciiTheme="minorHAnsi" w:hAnsiTheme="minorHAnsi"/>
          <w:sz w:val="24"/>
          <w:szCs w:val="24"/>
        </w:rPr>
      </w:pPr>
    </w:p>
    <w:p w14:paraId="27009C16" w14:textId="77777777" w:rsidR="007824C5" w:rsidRDefault="007824C5"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0C414A">
        <w:trPr>
          <w:trHeight w:val="159"/>
          <w:jc w:val="center"/>
        </w:trPr>
        <w:tc>
          <w:tcPr>
            <w:tcW w:w="4284" w:type="dxa"/>
            <w:tcBorders>
              <w:bottom w:val="single" w:sz="4" w:space="0" w:color="000000"/>
            </w:tcBorders>
          </w:tcPr>
          <w:p w14:paraId="22758EC0" w14:textId="77777777" w:rsidR="00F2468B" w:rsidRDefault="00F2468B" w:rsidP="000C414A">
            <w:pPr>
              <w:jc w:val="center"/>
              <w:rPr>
                <w:rFonts w:ascii="Calibri" w:eastAsia="Calibri" w:hAnsi="Calibri" w:cs="Calibri"/>
                <w:sz w:val="24"/>
                <w:szCs w:val="24"/>
              </w:rPr>
            </w:pPr>
            <w:r>
              <w:rPr>
                <w:rFonts w:ascii="Calibri" w:eastAsia="Calibri" w:hAnsi="Calibri" w:cs="Calibri"/>
                <w:sz w:val="24"/>
                <w:szCs w:val="24"/>
              </w:rPr>
              <w:lastRenderedPageBreak/>
              <w:t>Daniel Alejandro Valdés Amaro</w:t>
            </w:r>
          </w:p>
        </w:tc>
        <w:tc>
          <w:tcPr>
            <w:tcW w:w="426" w:type="dxa"/>
          </w:tcPr>
          <w:p w14:paraId="12F232AB" w14:textId="77777777" w:rsidR="00F2468B" w:rsidRDefault="00F2468B" w:rsidP="000C414A">
            <w:pPr>
              <w:jc w:val="both"/>
              <w:rPr>
                <w:rFonts w:ascii="Calibri" w:eastAsia="Calibri" w:hAnsi="Calibri" w:cs="Calibri"/>
                <w:sz w:val="24"/>
                <w:szCs w:val="24"/>
              </w:rPr>
            </w:pPr>
          </w:p>
        </w:tc>
      </w:tr>
      <w:tr w:rsidR="00F2468B" w14:paraId="2F86C054" w14:textId="77777777" w:rsidTr="000C414A">
        <w:trPr>
          <w:jc w:val="center"/>
        </w:trPr>
        <w:tc>
          <w:tcPr>
            <w:tcW w:w="4284" w:type="dxa"/>
            <w:tcBorders>
              <w:top w:val="single" w:sz="4" w:space="0" w:color="000000"/>
            </w:tcBorders>
          </w:tcPr>
          <w:p w14:paraId="297FF9B3" w14:textId="77777777" w:rsidR="00F2468B" w:rsidRDefault="00F2468B" w:rsidP="000C414A">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0C414A">
            <w:pPr>
              <w:jc w:val="both"/>
              <w:rPr>
                <w:rFonts w:ascii="Calibri" w:eastAsia="Calibri" w:hAnsi="Calibri" w:cs="Calibri"/>
                <w:sz w:val="24"/>
                <w:szCs w:val="24"/>
              </w:rPr>
            </w:pPr>
          </w:p>
        </w:tc>
      </w:tr>
    </w:tbl>
    <w:p w14:paraId="7313C43B" w14:textId="512A1E91" w:rsidR="001163E1" w:rsidRDefault="001163E1">
      <w:pPr>
        <w:jc w:val="both"/>
        <w:rPr>
          <w:rFonts w:asciiTheme="minorHAnsi" w:hAnsiTheme="minorHAnsi"/>
          <w:sz w:val="24"/>
          <w:szCs w:val="24"/>
        </w:rPr>
      </w:pPr>
    </w:p>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0C414A">
        <w:trPr>
          <w:jc w:val="center"/>
        </w:trPr>
        <w:tc>
          <w:tcPr>
            <w:tcW w:w="4284" w:type="dxa"/>
            <w:tcBorders>
              <w:bottom w:val="single" w:sz="4" w:space="0" w:color="000000"/>
            </w:tcBorders>
          </w:tcPr>
          <w:p w14:paraId="7832F4C7" w14:textId="77777777" w:rsidR="00036BE8" w:rsidRPr="00BE1534" w:rsidRDefault="00036BE8" w:rsidP="000C414A">
            <w:pPr>
              <w:jc w:val="center"/>
              <w:rPr>
                <w:rFonts w:asciiTheme="minorHAnsi" w:eastAsia="Calibri" w:hAnsiTheme="minorHAnsi" w:cs="Calibri"/>
                <w:sz w:val="24"/>
                <w:szCs w:val="24"/>
              </w:rPr>
            </w:pPr>
          </w:p>
          <w:p w14:paraId="6861584C" w14:textId="77777777" w:rsidR="004F04C1" w:rsidRDefault="004F04C1" w:rsidP="000C414A">
            <w:pPr>
              <w:jc w:val="center"/>
              <w:rPr>
                <w:rFonts w:asciiTheme="minorHAnsi" w:eastAsia="Calibri" w:hAnsiTheme="minorHAnsi" w:cs="Calibri"/>
                <w:sz w:val="24"/>
                <w:szCs w:val="24"/>
              </w:rPr>
            </w:pPr>
          </w:p>
          <w:p w14:paraId="55E56F87" w14:textId="7129B713"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0C414A">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0C414A">
            <w:pPr>
              <w:jc w:val="center"/>
              <w:rPr>
                <w:rFonts w:asciiTheme="minorHAnsi" w:eastAsia="Calibri" w:hAnsiTheme="minorHAnsi" w:cs="Calibri"/>
                <w:sz w:val="24"/>
                <w:szCs w:val="24"/>
              </w:rPr>
            </w:pPr>
          </w:p>
          <w:p w14:paraId="0BE68ED3" w14:textId="77777777" w:rsidR="004F04C1" w:rsidRDefault="004F04C1" w:rsidP="000C414A">
            <w:pPr>
              <w:jc w:val="center"/>
              <w:rPr>
                <w:rFonts w:asciiTheme="minorHAnsi" w:eastAsia="Calibri" w:hAnsiTheme="minorHAnsi" w:cs="Calibri"/>
                <w:sz w:val="24"/>
                <w:szCs w:val="24"/>
              </w:rPr>
            </w:pPr>
          </w:p>
          <w:p w14:paraId="10BC7502" w14:textId="79855A4F"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0C414A">
        <w:trPr>
          <w:jc w:val="center"/>
        </w:trPr>
        <w:tc>
          <w:tcPr>
            <w:tcW w:w="4284" w:type="dxa"/>
            <w:tcBorders>
              <w:top w:val="single" w:sz="4" w:space="0" w:color="000000"/>
            </w:tcBorders>
          </w:tcPr>
          <w:p w14:paraId="6F3D4D04" w14:textId="77777777"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0C414A">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0C414A">
        <w:trPr>
          <w:jc w:val="center"/>
        </w:trPr>
        <w:tc>
          <w:tcPr>
            <w:tcW w:w="4284" w:type="dxa"/>
            <w:tcBorders>
              <w:bottom w:val="single" w:sz="4" w:space="0" w:color="000000"/>
            </w:tcBorders>
          </w:tcPr>
          <w:p w14:paraId="21A6F001" w14:textId="77777777" w:rsidR="00036BE8" w:rsidRPr="00BE1534" w:rsidRDefault="00036BE8" w:rsidP="000C414A">
            <w:pPr>
              <w:jc w:val="center"/>
              <w:rPr>
                <w:rFonts w:asciiTheme="minorHAnsi" w:eastAsia="Calibri" w:hAnsiTheme="minorHAnsi" w:cs="Calibri"/>
                <w:sz w:val="24"/>
                <w:szCs w:val="24"/>
              </w:rPr>
            </w:pPr>
          </w:p>
          <w:p w14:paraId="1C521575" w14:textId="77777777" w:rsidR="00036BE8" w:rsidRPr="00BE1534" w:rsidRDefault="00036BE8" w:rsidP="000C414A">
            <w:pPr>
              <w:jc w:val="center"/>
              <w:rPr>
                <w:rFonts w:asciiTheme="minorHAnsi" w:eastAsia="Calibri" w:hAnsiTheme="minorHAnsi" w:cs="Calibri"/>
                <w:sz w:val="24"/>
                <w:szCs w:val="24"/>
              </w:rPr>
            </w:pPr>
          </w:p>
          <w:p w14:paraId="140DDABC" w14:textId="026A2B6E" w:rsidR="00036BE8" w:rsidRDefault="00036BE8" w:rsidP="000C414A">
            <w:pPr>
              <w:jc w:val="center"/>
              <w:rPr>
                <w:rFonts w:asciiTheme="minorHAnsi" w:eastAsia="Calibri" w:hAnsiTheme="minorHAnsi" w:cs="Calibri"/>
                <w:sz w:val="24"/>
                <w:szCs w:val="24"/>
              </w:rPr>
            </w:pPr>
          </w:p>
          <w:p w14:paraId="3E10BCD4" w14:textId="2328EEC1" w:rsidR="004F04C1" w:rsidRDefault="004F04C1" w:rsidP="000C414A">
            <w:pPr>
              <w:jc w:val="center"/>
              <w:rPr>
                <w:rFonts w:asciiTheme="minorHAnsi" w:eastAsia="Calibri" w:hAnsiTheme="minorHAnsi" w:cs="Calibri"/>
                <w:sz w:val="24"/>
                <w:szCs w:val="24"/>
              </w:rPr>
            </w:pPr>
          </w:p>
          <w:p w14:paraId="745C3581" w14:textId="77777777" w:rsidR="004F04C1" w:rsidRPr="00BE1534" w:rsidRDefault="004F04C1" w:rsidP="000C414A">
            <w:pPr>
              <w:jc w:val="center"/>
              <w:rPr>
                <w:rFonts w:asciiTheme="minorHAnsi" w:eastAsia="Calibri" w:hAnsiTheme="minorHAnsi" w:cs="Calibri"/>
                <w:sz w:val="24"/>
                <w:szCs w:val="24"/>
              </w:rPr>
            </w:pPr>
          </w:p>
          <w:p w14:paraId="728D1EBC" w14:textId="77777777" w:rsidR="00036BE8" w:rsidRPr="00BE1534" w:rsidRDefault="00036BE8" w:rsidP="000C414A">
            <w:pPr>
              <w:jc w:val="center"/>
              <w:rPr>
                <w:rFonts w:asciiTheme="minorHAnsi" w:eastAsia="Calibri" w:hAnsiTheme="minorHAnsi" w:cs="Calibri"/>
                <w:sz w:val="24"/>
                <w:szCs w:val="24"/>
              </w:rPr>
            </w:pPr>
          </w:p>
          <w:p w14:paraId="2AE0F43B" w14:textId="77777777" w:rsidR="00036BE8" w:rsidRPr="00BE1534" w:rsidRDefault="00036BE8" w:rsidP="000C414A">
            <w:pPr>
              <w:jc w:val="center"/>
              <w:rPr>
                <w:rFonts w:asciiTheme="minorHAnsi" w:eastAsia="Calibri" w:hAnsiTheme="minorHAnsi" w:cs="Calibri"/>
                <w:sz w:val="24"/>
                <w:szCs w:val="24"/>
              </w:rPr>
            </w:pPr>
          </w:p>
          <w:p w14:paraId="13063E7F" w14:textId="77777777"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0C414A">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0C414A">
            <w:pPr>
              <w:jc w:val="center"/>
              <w:rPr>
                <w:rFonts w:asciiTheme="minorHAnsi" w:eastAsia="Calibri" w:hAnsiTheme="minorHAnsi" w:cs="Calibri"/>
                <w:sz w:val="24"/>
                <w:szCs w:val="24"/>
              </w:rPr>
            </w:pPr>
          </w:p>
          <w:p w14:paraId="4DFE5867" w14:textId="77777777" w:rsidR="00036BE8" w:rsidRPr="00BE1534" w:rsidRDefault="00036BE8" w:rsidP="000C414A">
            <w:pPr>
              <w:jc w:val="center"/>
              <w:rPr>
                <w:rFonts w:asciiTheme="minorHAnsi" w:eastAsia="Calibri" w:hAnsiTheme="minorHAnsi" w:cs="Calibri"/>
                <w:sz w:val="24"/>
                <w:szCs w:val="24"/>
              </w:rPr>
            </w:pPr>
          </w:p>
          <w:p w14:paraId="51462503" w14:textId="77777777" w:rsidR="00036BE8" w:rsidRPr="00BE1534" w:rsidRDefault="00036BE8" w:rsidP="000C414A">
            <w:pPr>
              <w:jc w:val="center"/>
              <w:rPr>
                <w:rFonts w:asciiTheme="minorHAnsi" w:eastAsia="Calibri" w:hAnsiTheme="minorHAnsi" w:cs="Calibri"/>
                <w:sz w:val="24"/>
                <w:szCs w:val="24"/>
              </w:rPr>
            </w:pPr>
          </w:p>
          <w:p w14:paraId="0B06C739" w14:textId="77777777" w:rsidR="00036BE8" w:rsidRPr="00BE1534" w:rsidRDefault="00036BE8" w:rsidP="000C414A">
            <w:pPr>
              <w:jc w:val="center"/>
              <w:rPr>
                <w:rFonts w:asciiTheme="minorHAnsi" w:eastAsia="Calibri" w:hAnsiTheme="minorHAnsi" w:cs="Calibri"/>
                <w:sz w:val="24"/>
                <w:szCs w:val="24"/>
              </w:rPr>
            </w:pPr>
          </w:p>
          <w:p w14:paraId="3DE730DB" w14:textId="77777777" w:rsidR="004F04C1" w:rsidRDefault="004F04C1" w:rsidP="000C414A">
            <w:pPr>
              <w:jc w:val="center"/>
              <w:rPr>
                <w:rFonts w:asciiTheme="minorHAnsi" w:eastAsia="Calibri" w:hAnsiTheme="minorHAnsi" w:cs="Calibri"/>
                <w:sz w:val="24"/>
                <w:szCs w:val="24"/>
              </w:rPr>
            </w:pPr>
          </w:p>
          <w:p w14:paraId="5A38132B" w14:textId="77777777" w:rsidR="004F04C1" w:rsidRDefault="004F04C1" w:rsidP="000C414A">
            <w:pPr>
              <w:jc w:val="center"/>
              <w:rPr>
                <w:rFonts w:asciiTheme="minorHAnsi" w:eastAsia="Calibri" w:hAnsiTheme="minorHAnsi" w:cs="Calibri"/>
                <w:sz w:val="24"/>
                <w:szCs w:val="24"/>
              </w:rPr>
            </w:pPr>
          </w:p>
          <w:p w14:paraId="71EECC8A" w14:textId="77777777" w:rsidR="004F04C1" w:rsidRDefault="004F04C1" w:rsidP="000C414A">
            <w:pPr>
              <w:jc w:val="center"/>
              <w:rPr>
                <w:rFonts w:asciiTheme="minorHAnsi" w:eastAsia="Calibri" w:hAnsiTheme="minorHAnsi" w:cs="Calibri"/>
                <w:sz w:val="24"/>
                <w:szCs w:val="24"/>
              </w:rPr>
            </w:pPr>
          </w:p>
          <w:p w14:paraId="1E159519" w14:textId="0CB7601C"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0C414A">
        <w:trPr>
          <w:jc w:val="center"/>
        </w:trPr>
        <w:tc>
          <w:tcPr>
            <w:tcW w:w="4284" w:type="dxa"/>
            <w:tcBorders>
              <w:top w:val="single" w:sz="4" w:space="0" w:color="000000"/>
            </w:tcBorders>
          </w:tcPr>
          <w:p w14:paraId="1DD1BA65" w14:textId="77777777"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0C414A">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0C414A">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4F83B7" w14:textId="45044C1B" w:rsidR="00A9102A" w:rsidRDefault="00A9102A">
      <w:pPr>
        <w:jc w:val="both"/>
        <w:rPr>
          <w:rFonts w:asciiTheme="minorHAnsi" w:hAnsiTheme="minorHAnsi"/>
          <w:sz w:val="24"/>
          <w:szCs w:val="24"/>
        </w:rPr>
      </w:pPr>
      <w:bookmarkStart w:id="0" w:name="_heading=h.gjdgxs" w:colFirst="0" w:colLast="0"/>
      <w:bookmarkEnd w:id="0"/>
    </w:p>
    <w:p w14:paraId="2522112E" w14:textId="77777777" w:rsidR="00AF104E" w:rsidRDefault="00AF104E" w:rsidP="005D5343">
      <w:pPr>
        <w:jc w:val="both"/>
        <w:rPr>
          <w:sz w:val="24"/>
          <w:szCs w:val="24"/>
        </w:rPr>
      </w:pPr>
    </w:p>
    <w:p w14:paraId="4EE0D150" w14:textId="77777777" w:rsidR="007824C5" w:rsidRDefault="007824C5" w:rsidP="005D5343">
      <w:pPr>
        <w:jc w:val="both"/>
        <w:rPr>
          <w:sz w:val="24"/>
          <w:szCs w:val="24"/>
        </w:rPr>
      </w:pPr>
    </w:p>
    <w:p w14:paraId="4F700939" w14:textId="77777777" w:rsidR="005D5343" w:rsidRDefault="005D5343" w:rsidP="005D5343">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7ED69C37" w14:textId="77777777" w:rsidR="009E1FCA" w:rsidRPr="00BE1534" w:rsidRDefault="009E1FCA">
      <w:pPr>
        <w:jc w:val="both"/>
        <w:rPr>
          <w:rFonts w:asciiTheme="minorHAnsi" w:hAnsiTheme="minorHAnsi"/>
          <w:sz w:val="24"/>
          <w:szCs w:val="24"/>
        </w:rPr>
      </w:pPr>
    </w:p>
    <w:sectPr w:rsidR="009E1FCA" w:rsidRPr="00BE1534">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7F383" w14:textId="77777777" w:rsidR="002B4C3B" w:rsidRDefault="002B4C3B">
      <w:pPr>
        <w:spacing w:after="0" w:line="240" w:lineRule="auto"/>
      </w:pPr>
      <w:r>
        <w:separator/>
      </w:r>
    </w:p>
  </w:endnote>
  <w:endnote w:type="continuationSeparator" w:id="0">
    <w:p w14:paraId="1E197C0D" w14:textId="77777777" w:rsidR="002B4C3B" w:rsidRDefault="002B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055342" w:rsidRDefault="00055342">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rPr>
      <w:id w:val="-646280945"/>
      <w:docPartObj>
        <w:docPartGallery w:val="Page Numbers (Bottom of Page)"/>
        <w:docPartUnique/>
      </w:docPartObj>
    </w:sdtPr>
    <w:sdtEndPr/>
    <w:sdtContent>
      <w:p w14:paraId="24753040" w14:textId="1EC1CFBA" w:rsidR="00055342" w:rsidRDefault="00055342" w:rsidP="00FC6888">
        <w:pPr>
          <w:pBdr>
            <w:top w:val="nil"/>
            <w:left w:val="nil"/>
            <w:bottom w:val="nil"/>
            <w:right w:val="nil"/>
            <w:between w:val="nil"/>
          </w:pBdr>
          <w:tabs>
            <w:tab w:val="center" w:pos="4419"/>
            <w:tab w:val="right" w:pos="8838"/>
          </w:tabs>
          <w:spacing w:after="0" w:line="240" w:lineRule="auto"/>
          <w:rPr>
            <w:rFonts w:asciiTheme="minorHAnsi" w:hAnsiTheme="minorHAnsi"/>
            <w:bCs/>
            <w:sz w:val="24"/>
            <w:szCs w:val="24"/>
          </w:rPr>
        </w:pPr>
        <w:r w:rsidRPr="00DC3BB5">
          <w:rPr>
            <w:rFonts w:asciiTheme="minorHAnsi" w:hAnsiTheme="minorHAnsi"/>
            <w:bCs/>
            <w:sz w:val="24"/>
            <w:szCs w:val="24"/>
          </w:rPr>
          <w:t>Minuta de Trabajo CEPC-</w:t>
        </w:r>
        <w:r w:rsidR="008467B0">
          <w:rPr>
            <w:rFonts w:asciiTheme="minorHAnsi" w:hAnsiTheme="minorHAnsi"/>
            <w:bCs/>
            <w:sz w:val="24"/>
            <w:szCs w:val="24"/>
          </w:rPr>
          <w:t>13</w:t>
        </w:r>
        <w:r>
          <w:rPr>
            <w:rFonts w:asciiTheme="minorHAnsi" w:hAnsiTheme="minorHAnsi"/>
            <w:bCs/>
            <w:sz w:val="24"/>
            <w:szCs w:val="24"/>
          </w:rPr>
          <w:t>07</w:t>
        </w:r>
        <w:r w:rsidRPr="00DC3BB5">
          <w:rPr>
            <w:rFonts w:asciiTheme="minorHAnsi" w:hAnsiTheme="minorHAnsi"/>
            <w:bCs/>
            <w:sz w:val="24"/>
            <w:szCs w:val="24"/>
          </w:rPr>
          <w:t>2020-</w:t>
        </w:r>
        <w:r>
          <w:rPr>
            <w:rFonts w:asciiTheme="minorHAnsi" w:hAnsiTheme="minorHAnsi"/>
            <w:bCs/>
            <w:sz w:val="24"/>
            <w:szCs w:val="24"/>
          </w:rPr>
          <w:t>4</w:t>
        </w:r>
        <w:r w:rsidR="008467B0">
          <w:rPr>
            <w:rFonts w:asciiTheme="minorHAnsi" w:hAnsiTheme="minorHAnsi"/>
            <w:bCs/>
            <w:sz w:val="24"/>
            <w:szCs w:val="24"/>
          </w:rPr>
          <w:t>8</w:t>
        </w:r>
      </w:p>
      <w:p w14:paraId="2A8CAEA7" w14:textId="21BB38FD" w:rsidR="00055342" w:rsidRPr="00DC3BB5" w:rsidRDefault="00055342" w:rsidP="00FC6888">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47254">
          <w:rPr>
            <w:b/>
            <w:noProof/>
            <w:color w:val="000000"/>
            <w:sz w:val="24"/>
            <w:szCs w:val="24"/>
          </w:rPr>
          <w:t>4</w:t>
        </w:r>
        <w:r>
          <w:rPr>
            <w:b/>
            <w:color w:val="000000"/>
            <w:sz w:val="24"/>
            <w:szCs w:val="24"/>
          </w:rPr>
          <w:fldChar w:fldCharType="end"/>
        </w:r>
        <w:r>
          <w:rPr>
            <w:color w:val="000000"/>
          </w:rPr>
          <w:t xml:space="preserve"> de </w:t>
        </w:r>
        <w:r w:rsidRPr="004F04C1">
          <w:rPr>
            <w:b/>
            <w:bCs/>
            <w:color w:val="000000"/>
          </w:rPr>
          <w:t>5</w:t>
        </w:r>
      </w:p>
    </w:sdtContent>
  </w:sdt>
  <w:p w14:paraId="16A956BB" w14:textId="2ECC9B65" w:rsidR="00055342" w:rsidRPr="00DC3BB5" w:rsidRDefault="00055342"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055342" w:rsidRDefault="0005534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F0F3E" w14:textId="77777777" w:rsidR="002B4C3B" w:rsidRDefault="002B4C3B">
      <w:pPr>
        <w:spacing w:after="0" w:line="240" w:lineRule="auto"/>
      </w:pPr>
      <w:r>
        <w:separator/>
      </w:r>
    </w:p>
  </w:footnote>
  <w:footnote w:type="continuationSeparator" w:id="0">
    <w:p w14:paraId="6B21B557" w14:textId="77777777" w:rsidR="002B4C3B" w:rsidRDefault="002B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055342" w:rsidRDefault="00055342">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055342" w:rsidRDefault="00055342">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lang w:val="es-ES" w:eastAsia="es-ES"/>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055342" w:rsidRDefault="0005534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41CC3"/>
    <w:multiLevelType w:val="hybridMultilevel"/>
    <w:tmpl w:val="45E4C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5"/>
  </w:num>
  <w:num w:numId="8">
    <w:abstractNumId w:val="15"/>
  </w:num>
  <w:num w:numId="9">
    <w:abstractNumId w:val="12"/>
  </w:num>
  <w:num w:numId="10">
    <w:abstractNumId w:val="0"/>
  </w:num>
  <w:num w:numId="11">
    <w:abstractNumId w:val="6"/>
  </w:num>
  <w:num w:numId="12">
    <w:abstractNumId w:val="10"/>
  </w:num>
  <w:num w:numId="13">
    <w:abstractNumId w:val="11"/>
  </w:num>
  <w:num w:numId="14">
    <w:abstractNumId w:val="3"/>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A50"/>
    <w:rsid w:val="00005191"/>
    <w:rsid w:val="00030599"/>
    <w:rsid w:val="00031696"/>
    <w:rsid w:val="00033376"/>
    <w:rsid w:val="00033A8F"/>
    <w:rsid w:val="00033BBB"/>
    <w:rsid w:val="00036BE8"/>
    <w:rsid w:val="00040D6F"/>
    <w:rsid w:val="00045FB9"/>
    <w:rsid w:val="00047E6B"/>
    <w:rsid w:val="00052CEC"/>
    <w:rsid w:val="00053701"/>
    <w:rsid w:val="00054848"/>
    <w:rsid w:val="00055342"/>
    <w:rsid w:val="00063D84"/>
    <w:rsid w:val="000640EA"/>
    <w:rsid w:val="0006493A"/>
    <w:rsid w:val="0007047A"/>
    <w:rsid w:val="0007575C"/>
    <w:rsid w:val="000A0933"/>
    <w:rsid w:val="000A19B9"/>
    <w:rsid w:val="000A2180"/>
    <w:rsid w:val="000B6F4D"/>
    <w:rsid w:val="000C019A"/>
    <w:rsid w:val="000C414A"/>
    <w:rsid w:val="000C6BD4"/>
    <w:rsid w:val="000D78FB"/>
    <w:rsid w:val="000E15C8"/>
    <w:rsid w:val="000F29A9"/>
    <w:rsid w:val="000F4953"/>
    <w:rsid w:val="000F5EF4"/>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B7217"/>
    <w:rsid w:val="001D0019"/>
    <w:rsid w:val="001D77D2"/>
    <w:rsid w:val="001E634F"/>
    <w:rsid w:val="001F05F3"/>
    <w:rsid w:val="00201EC9"/>
    <w:rsid w:val="00202011"/>
    <w:rsid w:val="00206DF9"/>
    <w:rsid w:val="00217200"/>
    <w:rsid w:val="002312B0"/>
    <w:rsid w:val="002464C8"/>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4C3B"/>
    <w:rsid w:val="002B5051"/>
    <w:rsid w:val="002B7FEF"/>
    <w:rsid w:val="002C05D6"/>
    <w:rsid w:val="002C1E4C"/>
    <w:rsid w:val="002C22D3"/>
    <w:rsid w:val="002E3AA7"/>
    <w:rsid w:val="002F0ECA"/>
    <w:rsid w:val="002F12FA"/>
    <w:rsid w:val="00301FD1"/>
    <w:rsid w:val="003057AB"/>
    <w:rsid w:val="00306AB7"/>
    <w:rsid w:val="0032081E"/>
    <w:rsid w:val="0032557B"/>
    <w:rsid w:val="00325A97"/>
    <w:rsid w:val="0033326F"/>
    <w:rsid w:val="00340714"/>
    <w:rsid w:val="003513D5"/>
    <w:rsid w:val="00353239"/>
    <w:rsid w:val="00356E51"/>
    <w:rsid w:val="00362458"/>
    <w:rsid w:val="00362AF6"/>
    <w:rsid w:val="003633C4"/>
    <w:rsid w:val="003673A9"/>
    <w:rsid w:val="00373106"/>
    <w:rsid w:val="00374648"/>
    <w:rsid w:val="00380E2A"/>
    <w:rsid w:val="0038349A"/>
    <w:rsid w:val="00383508"/>
    <w:rsid w:val="00384826"/>
    <w:rsid w:val="003A404F"/>
    <w:rsid w:val="003A5F9C"/>
    <w:rsid w:val="003B0E15"/>
    <w:rsid w:val="003B5E24"/>
    <w:rsid w:val="003C283A"/>
    <w:rsid w:val="003D0F19"/>
    <w:rsid w:val="003D22FE"/>
    <w:rsid w:val="003D489A"/>
    <w:rsid w:val="003F19F8"/>
    <w:rsid w:val="004004BD"/>
    <w:rsid w:val="00404B8A"/>
    <w:rsid w:val="00407881"/>
    <w:rsid w:val="00416296"/>
    <w:rsid w:val="004231E8"/>
    <w:rsid w:val="004265E0"/>
    <w:rsid w:val="00432993"/>
    <w:rsid w:val="004377CF"/>
    <w:rsid w:val="00443131"/>
    <w:rsid w:val="00450F31"/>
    <w:rsid w:val="004602B0"/>
    <w:rsid w:val="00460C0F"/>
    <w:rsid w:val="0046275A"/>
    <w:rsid w:val="00463757"/>
    <w:rsid w:val="00466806"/>
    <w:rsid w:val="004775AC"/>
    <w:rsid w:val="00480EF8"/>
    <w:rsid w:val="0048462B"/>
    <w:rsid w:val="00485E32"/>
    <w:rsid w:val="00485F6A"/>
    <w:rsid w:val="00495191"/>
    <w:rsid w:val="004B5019"/>
    <w:rsid w:val="004C3205"/>
    <w:rsid w:val="004C6070"/>
    <w:rsid w:val="004D0A50"/>
    <w:rsid w:val="004D625E"/>
    <w:rsid w:val="004D72A9"/>
    <w:rsid w:val="004E273D"/>
    <w:rsid w:val="004E4FF2"/>
    <w:rsid w:val="004E6BE3"/>
    <w:rsid w:val="004F04C1"/>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7660C"/>
    <w:rsid w:val="0058245F"/>
    <w:rsid w:val="00586773"/>
    <w:rsid w:val="00591B5D"/>
    <w:rsid w:val="005940BF"/>
    <w:rsid w:val="0059764D"/>
    <w:rsid w:val="005A234B"/>
    <w:rsid w:val="005A5216"/>
    <w:rsid w:val="005B2712"/>
    <w:rsid w:val="005B2A31"/>
    <w:rsid w:val="005B47CB"/>
    <w:rsid w:val="005C6471"/>
    <w:rsid w:val="005D30FA"/>
    <w:rsid w:val="005D5343"/>
    <w:rsid w:val="005D72EC"/>
    <w:rsid w:val="0061788F"/>
    <w:rsid w:val="00626FD0"/>
    <w:rsid w:val="0062724F"/>
    <w:rsid w:val="00633A8E"/>
    <w:rsid w:val="00640EE3"/>
    <w:rsid w:val="00646638"/>
    <w:rsid w:val="00651222"/>
    <w:rsid w:val="006658F5"/>
    <w:rsid w:val="006670FC"/>
    <w:rsid w:val="006739DF"/>
    <w:rsid w:val="00692FEA"/>
    <w:rsid w:val="006A4999"/>
    <w:rsid w:val="006A511F"/>
    <w:rsid w:val="006B50E6"/>
    <w:rsid w:val="006C1334"/>
    <w:rsid w:val="006D0D51"/>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52B6A"/>
    <w:rsid w:val="0075729E"/>
    <w:rsid w:val="00767EA5"/>
    <w:rsid w:val="0077114D"/>
    <w:rsid w:val="007824C5"/>
    <w:rsid w:val="00787BE4"/>
    <w:rsid w:val="00790974"/>
    <w:rsid w:val="007958C4"/>
    <w:rsid w:val="007978CC"/>
    <w:rsid w:val="007B4465"/>
    <w:rsid w:val="007C2466"/>
    <w:rsid w:val="007C39DA"/>
    <w:rsid w:val="007C5071"/>
    <w:rsid w:val="007C6930"/>
    <w:rsid w:val="007D3B20"/>
    <w:rsid w:val="007D4A8F"/>
    <w:rsid w:val="007E2EFE"/>
    <w:rsid w:val="007E325C"/>
    <w:rsid w:val="007E6760"/>
    <w:rsid w:val="007F02D5"/>
    <w:rsid w:val="0080294B"/>
    <w:rsid w:val="008067FA"/>
    <w:rsid w:val="008122D5"/>
    <w:rsid w:val="008248F6"/>
    <w:rsid w:val="00837F1F"/>
    <w:rsid w:val="0084416C"/>
    <w:rsid w:val="00845FFF"/>
    <w:rsid w:val="0084610E"/>
    <w:rsid w:val="008467B0"/>
    <w:rsid w:val="00850794"/>
    <w:rsid w:val="0085194C"/>
    <w:rsid w:val="008565D3"/>
    <w:rsid w:val="00856699"/>
    <w:rsid w:val="0086737C"/>
    <w:rsid w:val="0087766D"/>
    <w:rsid w:val="0088771D"/>
    <w:rsid w:val="0089241A"/>
    <w:rsid w:val="00897E7B"/>
    <w:rsid w:val="008A3732"/>
    <w:rsid w:val="008B0BA1"/>
    <w:rsid w:val="008B4A97"/>
    <w:rsid w:val="008C0EB3"/>
    <w:rsid w:val="008C6A6C"/>
    <w:rsid w:val="008E206B"/>
    <w:rsid w:val="008F5B5A"/>
    <w:rsid w:val="008F5CA2"/>
    <w:rsid w:val="008F683F"/>
    <w:rsid w:val="008F73CF"/>
    <w:rsid w:val="00914AB5"/>
    <w:rsid w:val="009173DE"/>
    <w:rsid w:val="00927D31"/>
    <w:rsid w:val="00934A3E"/>
    <w:rsid w:val="009421F1"/>
    <w:rsid w:val="009444AF"/>
    <w:rsid w:val="00947D12"/>
    <w:rsid w:val="0097098C"/>
    <w:rsid w:val="00974E31"/>
    <w:rsid w:val="0098092B"/>
    <w:rsid w:val="00984828"/>
    <w:rsid w:val="0098649B"/>
    <w:rsid w:val="00991540"/>
    <w:rsid w:val="00994021"/>
    <w:rsid w:val="00994E46"/>
    <w:rsid w:val="009B19BB"/>
    <w:rsid w:val="009B4D7F"/>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27D00"/>
    <w:rsid w:val="00A4610F"/>
    <w:rsid w:val="00A464F3"/>
    <w:rsid w:val="00A464F5"/>
    <w:rsid w:val="00A631CC"/>
    <w:rsid w:val="00A656C8"/>
    <w:rsid w:val="00A82F3D"/>
    <w:rsid w:val="00A85665"/>
    <w:rsid w:val="00A87C72"/>
    <w:rsid w:val="00A9102A"/>
    <w:rsid w:val="00AA0B34"/>
    <w:rsid w:val="00AA2CEA"/>
    <w:rsid w:val="00AA3617"/>
    <w:rsid w:val="00AB6D8D"/>
    <w:rsid w:val="00AC247F"/>
    <w:rsid w:val="00AC375D"/>
    <w:rsid w:val="00AD1DF1"/>
    <w:rsid w:val="00AD3F96"/>
    <w:rsid w:val="00AD5120"/>
    <w:rsid w:val="00AE14CA"/>
    <w:rsid w:val="00AE3127"/>
    <w:rsid w:val="00AF104E"/>
    <w:rsid w:val="00AF4889"/>
    <w:rsid w:val="00B018C8"/>
    <w:rsid w:val="00B01AE8"/>
    <w:rsid w:val="00B069C6"/>
    <w:rsid w:val="00B15F52"/>
    <w:rsid w:val="00B17741"/>
    <w:rsid w:val="00B20593"/>
    <w:rsid w:val="00B24065"/>
    <w:rsid w:val="00B27A29"/>
    <w:rsid w:val="00B45B0D"/>
    <w:rsid w:val="00B47254"/>
    <w:rsid w:val="00B5367E"/>
    <w:rsid w:val="00B622D7"/>
    <w:rsid w:val="00B9217F"/>
    <w:rsid w:val="00B92E27"/>
    <w:rsid w:val="00B938D1"/>
    <w:rsid w:val="00BA21F1"/>
    <w:rsid w:val="00BA29F7"/>
    <w:rsid w:val="00BA5AFD"/>
    <w:rsid w:val="00BA70FE"/>
    <w:rsid w:val="00BA742F"/>
    <w:rsid w:val="00BA7D41"/>
    <w:rsid w:val="00BB33CC"/>
    <w:rsid w:val="00BC04A3"/>
    <w:rsid w:val="00BC7C74"/>
    <w:rsid w:val="00BE1534"/>
    <w:rsid w:val="00BE5F1F"/>
    <w:rsid w:val="00BE7C07"/>
    <w:rsid w:val="00BF79AA"/>
    <w:rsid w:val="00BF79E3"/>
    <w:rsid w:val="00C06F09"/>
    <w:rsid w:val="00C30615"/>
    <w:rsid w:val="00C325AE"/>
    <w:rsid w:val="00C441D5"/>
    <w:rsid w:val="00C44F04"/>
    <w:rsid w:val="00C46045"/>
    <w:rsid w:val="00C469EE"/>
    <w:rsid w:val="00C51976"/>
    <w:rsid w:val="00C51AA4"/>
    <w:rsid w:val="00C53C8C"/>
    <w:rsid w:val="00C54211"/>
    <w:rsid w:val="00C740F1"/>
    <w:rsid w:val="00C84D2D"/>
    <w:rsid w:val="00C85A74"/>
    <w:rsid w:val="00C95F98"/>
    <w:rsid w:val="00CA710D"/>
    <w:rsid w:val="00CB1671"/>
    <w:rsid w:val="00CC33B0"/>
    <w:rsid w:val="00CC38D4"/>
    <w:rsid w:val="00CD4556"/>
    <w:rsid w:val="00CD60F7"/>
    <w:rsid w:val="00CF0F15"/>
    <w:rsid w:val="00CF2C70"/>
    <w:rsid w:val="00CF54B9"/>
    <w:rsid w:val="00D01EB9"/>
    <w:rsid w:val="00D02D21"/>
    <w:rsid w:val="00D06789"/>
    <w:rsid w:val="00D06E48"/>
    <w:rsid w:val="00D07CEA"/>
    <w:rsid w:val="00D118D3"/>
    <w:rsid w:val="00D21789"/>
    <w:rsid w:val="00D229C1"/>
    <w:rsid w:val="00D2649E"/>
    <w:rsid w:val="00D327DB"/>
    <w:rsid w:val="00D36DD3"/>
    <w:rsid w:val="00D377AD"/>
    <w:rsid w:val="00D513DF"/>
    <w:rsid w:val="00D51BF3"/>
    <w:rsid w:val="00D55C47"/>
    <w:rsid w:val="00D62B19"/>
    <w:rsid w:val="00D6313A"/>
    <w:rsid w:val="00D65048"/>
    <w:rsid w:val="00D66FD3"/>
    <w:rsid w:val="00D71FDD"/>
    <w:rsid w:val="00D7306A"/>
    <w:rsid w:val="00D8728C"/>
    <w:rsid w:val="00D90D3C"/>
    <w:rsid w:val="00D91783"/>
    <w:rsid w:val="00D924E6"/>
    <w:rsid w:val="00DA2BAF"/>
    <w:rsid w:val="00DA4E20"/>
    <w:rsid w:val="00DB357A"/>
    <w:rsid w:val="00DB7AF5"/>
    <w:rsid w:val="00DC2E77"/>
    <w:rsid w:val="00DC3BB5"/>
    <w:rsid w:val="00DD11A5"/>
    <w:rsid w:val="00DE4DDB"/>
    <w:rsid w:val="00DE6A7C"/>
    <w:rsid w:val="00DF046F"/>
    <w:rsid w:val="00DF08F4"/>
    <w:rsid w:val="00DF3C71"/>
    <w:rsid w:val="00E22C70"/>
    <w:rsid w:val="00E231BF"/>
    <w:rsid w:val="00E267BF"/>
    <w:rsid w:val="00E31B27"/>
    <w:rsid w:val="00E322F1"/>
    <w:rsid w:val="00E42D7C"/>
    <w:rsid w:val="00E44A57"/>
    <w:rsid w:val="00E47C2A"/>
    <w:rsid w:val="00E57BA7"/>
    <w:rsid w:val="00E60F15"/>
    <w:rsid w:val="00E672D3"/>
    <w:rsid w:val="00E74D69"/>
    <w:rsid w:val="00E86EDB"/>
    <w:rsid w:val="00E902D4"/>
    <w:rsid w:val="00E9348A"/>
    <w:rsid w:val="00E938E4"/>
    <w:rsid w:val="00E9666D"/>
    <w:rsid w:val="00EA267F"/>
    <w:rsid w:val="00EB2C48"/>
    <w:rsid w:val="00EC15E4"/>
    <w:rsid w:val="00EC4B8B"/>
    <w:rsid w:val="00EC63C6"/>
    <w:rsid w:val="00ED0D9C"/>
    <w:rsid w:val="00ED278A"/>
    <w:rsid w:val="00EE6719"/>
    <w:rsid w:val="00EF0A9D"/>
    <w:rsid w:val="00EF0C8B"/>
    <w:rsid w:val="00EF6965"/>
    <w:rsid w:val="00EF76C9"/>
    <w:rsid w:val="00EF797B"/>
    <w:rsid w:val="00F03DA1"/>
    <w:rsid w:val="00F074A5"/>
    <w:rsid w:val="00F07B0C"/>
    <w:rsid w:val="00F1321B"/>
    <w:rsid w:val="00F15B11"/>
    <w:rsid w:val="00F16935"/>
    <w:rsid w:val="00F2037A"/>
    <w:rsid w:val="00F2468B"/>
    <w:rsid w:val="00F263DF"/>
    <w:rsid w:val="00F31481"/>
    <w:rsid w:val="00F36041"/>
    <w:rsid w:val="00F4002E"/>
    <w:rsid w:val="00F41C56"/>
    <w:rsid w:val="00F5063B"/>
    <w:rsid w:val="00F540F9"/>
    <w:rsid w:val="00F572B6"/>
    <w:rsid w:val="00F6068F"/>
    <w:rsid w:val="00F734F0"/>
    <w:rsid w:val="00F7492A"/>
    <w:rsid w:val="00F83E23"/>
    <w:rsid w:val="00F96465"/>
    <w:rsid w:val="00FA2CED"/>
    <w:rsid w:val="00FA2F53"/>
    <w:rsid w:val="00FA364C"/>
    <w:rsid w:val="00FB0D0E"/>
    <w:rsid w:val="00FB1EA7"/>
    <w:rsid w:val="00FC0DF4"/>
    <w:rsid w:val="00FC0FA7"/>
    <w:rsid w:val="00FC18D7"/>
    <w:rsid w:val="00FC3A24"/>
    <w:rsid w:val="00FC6888"/>
    <w:rsid w:val="00FD46E1"/>
    <w:rsid w:val="00FD59F3"/>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255E06"/>
  <w15:docId w15:val="{30B44651-055F-431C-A693-87683C33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3599">
      <w:bodyDiv w:val="1"/>
      <w:marLeft w:val="0"/>
      <w:marRight w:val="0"/>
      <w:marTop w:val="0"/>
      <w:marBottom w:val="0"/>
      <w:divBdr>
        <w:top w:val="none" w:sz="0" w:space="0" w:color="auto"/>
        <w:left w:val="none" w:sz="0" w:space="0" w:color="auto"/>
        <w:bottom w:val="none" w:sz="0" w:space="0" w:color="auto"/>
        <w:right w:val="none" w:sz="0" w:space="0" w:color="auto"/>
      </w:divBdr>
    </w:div>
    <w:div w:id="349718645">
      <w:bodyDiv w:val="1"/>
      <w:marLeft w:val="0"/>
      <w:marRight w:val="0"/>
      <w:marTop w:val="0"/>
      <w:marBottom w:val="0"/>
      <w:divBdr>
        <w:top w:val="none" w:sz="0" w:space="0" w:color="auto"/>
        <w:left w:val="none" w:sz="0" w:space="0" w:color="auto"/>
        <w:bottom w:val="none" w:sz="0" w:space="0" w:color="auto"/>
        <w:right w:val="none" w:sz="0" w:space="0" w:color="auto"/>
      </w:divBdr>
    </w:div>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606237029">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040133914">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 w:id="1985893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8B180EEB-2559-C449-897E-E87CAE7D84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8</cp:revision>
  <cp:lastPrinted>2020-04-20T21:50:00Z</cp:lastPrinted>
  <dcterms:created xsi:type="dcterms:W3CDTF">2020-10-22T15:00:00Z</dcterms:created>
  <dcterms:modified xsi:type="dcterms:W3CDTF">2020-11-02T23:12:00Z</dcterms:modified>
</cp:coreProperties>
</file>