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2026-10-18</w:t>
      </w:r>
    </w:p>
    <w:p>
      <w:pPr>
        <w:spacing w:after="160"/>
      </w:pPr>
      <w:r>
        <w:rPr>
          <w:color w:val="444444"/>
          <w:sz w:val="21"/>
          <w:szCs w:val="21"/>
          <w:rFonts w:ascii="Cambria" w:cs="Cambria" w:eastAsia="Cambria" w:hAnsi="Cambria"/>
        </w:rPr>
        <w:t xml:space="preserve">As of October 2026, we are on track to meet our annual benchmark for transcribed CPL in MAP and to reach 90,000 transcribed units by June 2027. Most colleges continue to lack MIS reporting for SY codes, which we are addressing through technical assistance and professional development aimed at aligning MAP Platform data with MIS submissions. Platform usage is increasing, with significant growth in Cx, SE, and JST credit being loaded to reflect campus activity. Those three areas are primary in our ability to attain 90,000 units transcribed.</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2026-10-31T12:11:51.339Z</dcterms:created>
  <dcterms:modified xsi:type="dcterms:W3CDTF">2026-10-31T12:11:51.339Z</dcterms:modified>
</cp:coreProperties>
</file>

<file path=docProps/custom.xml><?xml version="1.0" encoding="utf-8"?>
<Properties xmlns="http://schemas.openxmlformats.org/officeDocument/2006/custom-properties" xmlns:vt="http://schemas.openxmlformats.org/officeDocument/2006/docPropsVTypes"/>
</file>