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2.1  Statewide Credit Recommendations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$1,563,900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288 Cumulative credit recommendations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2,200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288/400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288/600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288/800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288/1,000</w:t>
            </w:r>
          </w:p>
        </w:tc>
      </w:tr>
    </w:tbl>
    <w:p>
      <w:pPr>
        <w:pStyle w:val="Heading2"/>
      </w:pPr>
      <w:r>
        <w:t xml:space="preserve">Description</w:t>
      </w:r>
    </w:p>
    <w:p>
      <w:pPr>
        <w:spacing w:after="160"/>
      </w:pPr>
      <w:r>
        <w:rPr>
          <w:color w:val="444444"/>
          <w:sz w:val="21"/>
          <w:szCs w:val="21"/>
          <w:rFonts w:ascii="Cambria" w:cs="Cambria" w:eastAsia="Cambria" w:hAnsi="Cambria"/>
        </w:rPr>
        <w:t xml:space="preserve">Create and adopt statewide CPL credit recommendations through ASCCC faculty workgroups.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we have almost 15,000 statewide CRs for colleges to adopt locally. We have expanded statewide credit recommendations to include construction management and HVAC programs, with specific counts of new exhibits and credit recommendations to be added once received from the team. We are now awaiting the ASCCC Pathways to Credit work to commence with faculty statewide credit recommendations. The goal for Item 2.1 is met and we are aiming to meet the stretch goal now.</w:t>
      </w:r>
    </w:p>
    <w:p>
      <w:pPr>
        <w:pStyle w:val="Heading2"/>
      </w:pPr>
      <w:r>
        <w:t xml:space="preserve">Workplan Notes</w:t>
      </w:r>
    </w:p>
    <w:p>
      <w:pPr>
        <w:spacing w:after="160"/>
      </w:pPr>
      <w:r>
        <w:rPr>
          <w:color w:val="444444"/>
          <w:sz w:val="21"/>
          <w:szCs w:val="21"/>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p>
      <w:pPr>
        <w:pStyle w:val="Heading2"/>
      </w:pPr>
      <w:r>
        <w:t xml:space="preserve">Milestones</w:t>
      </w:r>
    </w:p>
    <w:p>
      <w:pPr>
        <w:spacing w:after="160"/>
      </w:pPr>
      <w:r>
        <w:rPr>
          <w:color w:val="444444"/>
          <w:sz w:val="21"/>
          <w:szCs w:val="21"/>
          <w:rFonts w:ascii="Cambria" w:cs="Cambria" w:eastAsia="Cambria" w:hAnsi="Cambria"/>
        </w:rPr>
        <w:t xml:space="preserve">June 2026: 650+ cumulative adopted recommendations; 2030: 1,000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288 cumulative credit recommendations; 281 adopted this year; 230 in progress through adoption workflow</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Statewide Credit Recommendations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2026-10-20T11:46:36.869Z</dcterms:created>
  <dcterms:modified xsi:type="dcterms:W3CDTF">2026-10-20T11:46:36.869Z</dcterms:modified>
</cp:coreProperties>
</file>

<file path=docProps/custom.xml><?xml version="1.0" encoding="utf-8"?>
<Properties xmlns="http://schemas.openxmlformats.org/officeDocument/2006/custom-properties" xmlns:vt="http://schemas.openxmlformats.org/officeDocument/2006/docPropsVTypes"/>
</file>