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4.5  Law &amp; Regulation Review</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October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James Todd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 policy actions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How it is counted</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Each legislative bill enacted or regulation revised or guidance memo to the field is counted.</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4/10</w:t>
            </w:r>
          </w:p>
        </w:tc>
      </w:tr>
    </w:tbl>
    <w:p>
      <w:pPr>
        <w:pStyle w:val="Heading2"/>
      </w:pPr>
      <w:r>
        <w:t xml:space="preserve">Description</w:t>
      </w:r>
    </w:p>
    <w:p>
      <w:pPr>
        <w:spacing w:after="160"/>
      </w:pPr>
      <w:r>
        <w:rPr>
          <w:color w:val="444444"/>
          <w:sz w:val="21"/>
          <w:szCs w:val="21"/>
          <w:rFonts w:ascii="Cambria" w:cs="Cambria" w:eastAsia="Cambria" w:hAnsi="Cambria"/>
        </w:rPr>
        <w:t xml:space="preserve">Advance improvements to laws, regulations, procedures, and constituent resolutions focused on removing CPL barriers are enacted</w:t>
      </w:r>
    </w:p>
    <w:p>
      <w:pPr>
        <w:pStyle w:val="Heading2"/>
      </w:pPr>
      <w:r>
        <w:t xml:space="preserve">Latest Update</w:t>
      </w:r>
    </w:p>
    <w:p>
      <w:pPr>
        <w:spacing w:after="60"/>
      </w:pPr>
      <w:r>
        <w:rPr>
          <w:color w:val="666666"/>
          <w:sz w:val="18"/>
          <w:szCs w:val="18"/>
          <w:rFonts w:ascii="Cambria" w:cs="Cambria" w:eastAsia="Cambria" w:hAnsi="Cambria"/>
        </w:rPr>
        <w:t xml:space="preserve">Date: 2026-10-14</w:t>
      </w:r>
    </w:p>
    <w:p>
      <w:pPr>
        <w:spacing w:after="160"/>
      </w:pPr>
      <w:r>
        <w:rPr>
          <w:color w:val="444444"/>
          <w:sz w:val="21"/>
          <w:szCs w:val="21"/>
          <w:rFonts w:ascii="Cambria" w:cs="Cambria" w:eastAsia="Cambria" w:hAnsi="Cambria"/>
        </w:rPr>
        <w:t xml:space="preserve">SB 135 was chaptered into law resulting in a new Ed. Code section 78093 which requires the system to build upon the California Mapping Articulated Pathways Initiative to support the Credit for Prior Learning Initiative as a systemwide initiative to award credit for prior learning opportunities at each campus. This section carries important clarifications that allow colleges to award CPL for course, GE are, and elective credits for certificates, associates, and baccalaureate degrees. It also builds in mutual recognition of CPL awarded by one college and transferred to another and requires CPL transparency and advisement for potential and currently registered students as part of the education planning process. Lastly, the law provides $35 million one-time funds to support the system's and college's work implementing CPL procedures and requires funding to be tied to specified access and completion outcomes.
Title 5 55050 revisions based on 78093 have been drafted and are in the making their way through the governance process.</w:t>
      </w:r>
    </w:p>
    <w:p>
      <w:pPr>
        <w:pStyle w:val="Heading2"/>
      </w:pPr>
      <w:r>
        <w:t xml:space="preserve">Workplan Notes</w:t>
      </w:r>
    </w:p>
    <w:p>
      <w:pPr>
        <w:spacing w:after="160"/>
      </w:pPr>
      <w:r>
        <w:rPr>
          <w:color w:val="444444"/>
          <w:sz w:val="21"/>
          <w:szCs w:val="21"/>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p>
      <w:pPr>
        <w:pStyle w:val="Heading2"/>
      </w:pPr>
      <w:r>
        <w:t xml:space="preserve">Milestones</w:t>
      </w:r>
    </w:p>
    <w:p>
      <w:pPr>
        <w:spacing w:after="160"/>
      </w:pPr>
      <w:r>
        <w:rPr>
          <w:color w:val="444444"/>
          <w:sz w:val="21"/>
          <w:szCs w:val="21"/>
          <w:rFonts w:ascii="Cambria" w:cs="Cambria" w:eastAsia="Cambria" w:hAnsi="Cambria"/>
        </w:rPr>
        <w:t xml:space="preserve">2026 session: Advocate for $2M ongoing + $35M one-time; advance SCFF integration</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$50K distributed to 114 colleges; $6M one-time fully allocated; 2026 advocacy for $2M ongoing + $35M one-time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$50K distributed to 114 colleges; $6M one-time fully allocated; 2026 advocacy for $2M ongoing + $35M one-time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Law &amp; Regulation Review</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2026-10-20T11:46:37.096Z</dcterms:created>
  <dcterms:modified xsi:type="dcterms:W3CDTF">2026-10-20T11:46:37.096Z</dcterms:modified>
</cp:coreProperties>
</file>

<file path=docProps/custom.xml><?xml version="1.0" encoding="utf-8"?>
<Properties xmlns="http://schemas.openxmlformats.org/officeDocument/2006/custom-properties" xmlns:vt="http://schemas.openxmlformats.org/officeDocument/2006/docPropsVTypes"/>
</file>