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2.1  Statewide Credit Recommendations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$1,563,900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288 Cumulative credit recommendations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2,200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288/400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288/600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288/800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288/1,000</w:t>
            </w:r>
          </w:p>
        </w:tc>
      </w:tr>
    </w:tbl>
    <w:p>
      <w:pPr>
        <w:pStyle w:val="Heading2"/>
      </w:pPr>
      <w:r>
        <w:t xml:space="preserve">Description</w:t>
      </w:r>
    </w:p>
    <w:p>
      <w:pPr>
        <w:spacing w:after="160"/>
      </w:pPr>
      <w:r>
        <w:rPr>
          <w:color w:val="444444"/>
          <w:sz w:val="21"/>
          <w:szCs w:val="21"/>
          <w:rFonts w:ascii="Cambria" w:cs="Cambria" w:eastAsia="Cambria" w:hAnsi="Cambria"/>
        </w:rPr>
        <w:t xml:space="preserve">Create and adopt statewide CPL credit recommendations through ASCCC faculty workgroups.</w:t>
      </w:r>
    </w:p>
    <w:p>
      <w:pPr>
        <w:pStyle w:val="Heading2"/>
      </w:pPr>
      <w:r>
        <w:t xml:space="preserve">Latest Update</w:t>
      </w:r>
    </w:p>
    <w:p>
      <w:pPr>
        <w:spacing w:after="60"/>
      </w:pPr>
      <w:r>
        <w:rPr>
          <w:color w:val="666666"/>
          <w:sz w:val="18"/>
          <w:szCs w:val="18"/>
          <w:rFonts w:ascii="Cambria" w:cs="Cambria" w:eastAsia="Cambria" w:hAnsi="Cambria"/>
        </w:rPr>
        <w:t xml:space="preserve">Date: 2026-10-24</w:t>
      </w:r>
    </w:p>
    <w:p>
      <w:pPr>
        <w:spacing w:after="160"/>
      </w:pPr>
      <w:r>
        <w:rPr>
          <w:color w:val="444444"/>
          <w:sz w:val="21"/>
          <w:szCs w:val="21"/>
          <w:rFonts w:ascii="Cambria" w:cs="Cambria" w:eastAsia="Cambria" w:hAnsi="Cambria"/>
        </w:rPr>
        <w:t xml:space="preserve">As of 10/23/2026, colleges continue to advance Credit for Prior Learning (CPL) efforts through the review and adoption of statewide credit recommendations, helping to expand consistent CPL opportunities across the system. A STAT Excel worksheet was developed and is being shared with colleges upon request, providing a snapshot of each college’s alignment between existing CPL offerings and applicable statewide credit recommendations. This resource has helped colleges identify opportunities for expansion, and areas of strong alignment. In addition, several colleges are choosing to develop local CPL exhibits in lieu of adopting statewide exhibits, and these locally developed exhibits are being captured and tracked within MAP.</w:t>
      </w:r>
    </w:p>
    <w:p>
      <w:pPr>
        <w:pStyle w:val="Heading2"/>
      </w:pPr>
      <w:r>
        <w:t xml:space="preserve">Workplan Notes</w:t>
      </w:r>
    </w:p>
    <w:p>
      <w:pPr>
        <w:spacing w:after="160"/>
      </w:pPr>
      <w:r>
        <w:rPr>
          <w:color w:val="444444"/>
          <w:sz w:val="21"/>
          <w:szCs w:val="21"/>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p>
      <w:pPr>
        <w:pStyle w:val="Heading2"/>
      </w:pPr>
      <w:r>
        <w:t xml:space="preserve">Milestones</w:t>
      </w:r>
    </w:p>
    <w:p>
      <w:pPr>
        <w:spacing w:after="160"/>
      </w:pPr>
      <w:r>
        <w:rPr>
          <w:color w:val="444444"/>
          <w:sz w:val="21"/>
          <w:szCs w:val="21"/>
          <w:rFonts w:ascii="Cambria" w:cs="Cambria" w:eastAsia="Cambria" w:hAnsi="Cambria"/>
        </w:rPr>
        <w:t xml:space="preserve">June 2026: 650+ cumulative adopted recommendations; 2030: 1,000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288 cumulative credit recommendations; 281 adopted this year; 230 in progress through adoption workflow</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288 cumulative credit recommendations; 281 adopted this year; 230 in progress through adoption workflow</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Statewide Credit Recommendations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2026-10-24T13:25:01.479Z</dcterms:created>
  <dcterms:modified xsi:type="dcterms:W3CDTF">2026-10-24T13:25:01.479Z</dcterms:modified>
</cp:coreProperties>
</file>

<file path=docProps/custom.xml><?xml version="1.0" encoding="utf-8"?>
<Properties xmlns="http://schemas.openxmlformats.org/officeDocument/2006/custom-properties" xmlns:vt="http://schemas.openxmlformats.org/officeDocument/2006/docPropsVTypes"/>
</file>