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4.5  Law &amp; Regulation Review</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James Todd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 policy actions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Each legislative bill enacted or regulation revised or guidance memo to the field is counted.</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4/10</w:t>
            </w:r>
          </w:p>
        </w:tc>
      </w:tr>
    </w:tbl>
    <w:p>
      <w:pPr>
        <w:pStyle w:val="Heading2"/>
      </w:pPr>
      <w:r>
        <w:t xml:space="preserve">Description</w:t>
      </w:r>
    </w:p>
    <w:p>
      <w:pPr>
        <w:spacing w:after="160"/>
      </w:pPr>
      <w:r>
        <w:rPr>
          <w:color w:val="444444"/>
          <w:sz w:val="21"/>
          <w:szCs w:val="21"/>
          <w:rFonts w:ascii="Cambria" w:cs="Cambria" w:eastAsia="Cambria" w:hAnsi="Cambria"/>
        </w:rPr>
        <w:t xml:space="preserve">Advance improvements to laws, regulations, procedures, and constituent resolutions focused on removing CPL barriers are enacted</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Heading2"/>
      </w:pPr>
      <w:r>
        <w:t xml:space="preserve">Workplan Notes</w:t>
      </w:r>
    </w:p>
    <w:p>
      <w:pPr>
        <w:spacing w:after="160"/>
      </w:pPr>
      <w:r>
        <w:rPr>
          <w:color w:val="444444"/>
          <w:sz w:val="21"/>
          <w:szCs w:val="21"/>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p>
      <w:pPr>
        <w:pStyle w:val="Heading2"/>
      </w:pPr>
      <w:r>
        <w:t xml:space="preserve">Milestones</w:t>
      </w:r>
    </w:p>
    <w:p>
      <w:pPr>
        <w:spacing w:after="160"/>
      </w:pPr>
      <w:r>
        <w:rPr>
          <w:color w:val="444444"/>
          <w:sz w:val="21"/>
          <w:szCs w:val="21"/>
          <w:rFonts w:ascii="Cambria" w:cs="Cambria" w:eastAsia="Cambria" w:hAnsi="Cambria"/>
        </w:rPr>
        <w:t xml:space="preserve">2026 session: Advocate for $2M ongoing + $35M one-time; advance SCFF integration</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Law &amp; Regulation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2026-10-15T14:13:19.786Z</dcterms:created>
  <dcterms:modified xsi:type="dcterms:W3CDTF">2026-10-15T14:13:19.786Z</dcterms:modified>
</cp:coreProperties>
</file>

<file path=docProps/custom.xml><?xml version="1.0" encoding="utf-8"?>
<Properties xmlns="http://schemas.openxmlformats.org/officeDocument/2006/custom-properties" xmlns:vt="http://schemas.openxmlformats.org/officeDocument/2006/docPropsVTypes"/>
</file>