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2026-10-15</w:t>
      </w:r>
    </w:p>
    <w:p>
      <w:pPr>
        <w:spacing w:after="160"/>
      </w:pPr>
      <w:r>
        <w:rPr>
          <w:color w:val="444444"/>
          <w:sz w:val="21"/>
          <w:szCs w:val="21"/>
          <w:rFonts w:ascii="Cambria" w:cs="Cambria" w:eastAsia="Cambria" w:hAnsi="Cambria"/>
        </w:rPr>
        <w:t xml:space="preserve">The formal Student Impact Rate Survey has not yet launched. However, the Student Portal infrastructure needed to identify participants, capture CPL activity, and support future survey distribution has advanced significantly. Parallel student-story collection has exceeded its initial goal, but the survey instrument, automated triggers, and reporting workflow still need to be designed and deployed. With the student portal now live, this work can begin.</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2026-10-18T13:22:22.428Z</dcterms:created>
  <dcterms:modified xsi:type="dcterms:W3CDTF">2026-10-18T13:22:22.428Z</dcterms:modified>
</cp:coreProperties>
</file>

<file path=docProps/custom.xml><?xml version="1.0" encoding="utf-8"?>
<Properties xmlns="http://schemas.openxmlformats.org/officeDocument/2006/custom-properties" xmlns:vt="http://schemas.openxmlformats.org/officeDocument/2006/docPropsVTypes"/>
</file>