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3.6  College Tracking &amp; Recognition</w:t>
      </w:r>
    </w:p>
    <w:p>
      <w:pPr>
        <w:spacing w:after="80"/>
        <w:jc w:val="center"/>
      </w:pPr>
      <w:r>
        <w:rPr>
          <w:b/>
          <w:bCs/>
          <w:color w:val="2A7D4F"/>
          <w:sz w:val="24"/>
          <w:szCs w:val="24"/>
          <w:rFonts w:ascii="Cambria" w:cs="Cambria" w:eastAsia="Cambria" w:hAnsi="Cambria"/>
        </w:rPr>
        <w:t xml:space="preserve">✔ On Track</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September 2,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On Track</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70%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1.1 (MAP Team Operations (GFA0164))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3 colleges, agencies, and personnel recognized for contributions and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12</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20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3/2</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3/5</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3/8</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3/10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3/12</w:t>
            </w:r>
          </w:p>
        </w:tc>
      </w:tr>
    </w:tbl>
    <w:p>
      <w:pPr>
        <w:pStyle w:val="Heading2"/>
      </w:pPr>
      <w:r>
        <w:t xml:space="preserve">Description</w:t>
      </w:r>
    </w:p>
    <w:p>
      <w:pPr>
        <w:spacing w:after="160"/>
      </w:pPr>
      <w:r>
        <w:rPr>
          <w:color w:val="444444"/>
          <w:sz w:val="21"/>
          <w:szCs w:val="21"/>
          <w:rFonts w:ascii="Cambria" w:cs="Cambria" w:eastAsia="Cambria" w:hAnsi="Cambria"/>
        </w:rPr>
        <w:t xml:space="preserve">Colleges, personnel, and agencies are recognized for contributions and progress toward increasing equitable access thrugh CPL.</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Colleges with &gt;75% JST documentation for reported veterans receive gold star recognition on the MAP Dashboard, which has increased participation and acceptance of this procedure. Icons will be integrated on the dashboard to recognize platform use levels and keep local staff informed of their progress.</w:t>
      </w:r>
    </w:p>
    <w:p>
      <w:pPr>
        <w:pStyle w:val="Heading2"/>
      </w:pPr>
      <w:r>
        <w:t xml:space="preserve">Workplan Notes</w:t>
      </w:r>
    </w:p>
    <w:p>
      <w:pPr>
        <w:spacing w:after="160"/>
      </w:pPr>
      <w:r>
        <w:rPr>
          <w:color w:val="444444"/>
          <w:sz w:val="21"/>
          <w:szCs w:val="21"/>
          <w:rFonts w:ascii="Cambria" w:cs="Cambria" w:eastAsia="Cambria" w:hAnsi="Cambria"/>
        </w:rPr>
        <w:t xml:space="preserve">3 institutions recognized as MAP College of the Year: 2023 Moreno Valley College, 2024 San Bernardino Valley College, 2025 Miramar College. CPL Dashboard provides public tracking and recognition data.</w:t>
      </w:r>
    </w:p>
    <w:p>
      <w:pPr>
        <w:pStyle w:val="Heading2"/>
      </w:pPr>
      <w:r>
        <w:t xml:space="preserve">Milestones</w:t>
      </w:r>
    </w:p>
    <w:p>
      <w:pPr>
        <w:spacing w:after="160"/>
      </w:pPr>
      <w:r>
        <w:rPr>
          <w:color w:val="444444"/>
          <w:sz w:val="21"/>
          <w:szCs w:val="21"/>
          <w:rFonts w:ascii="Cambria" w:cs="Cambria" w:eastAsia="Cambria" w:hAnsi="Cambria"/>
        </w:rPr>
        <w:t xml:space="preserve">Annual recognition cycle; CPL Dashboard enhancements ongoing</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Three MAP College of Year awards given (2023-2025); CPL Dashboard live with public data</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 institutions recognized as MAP College of the Year: 2023 Moreno Valley College, 2024 San Bernardino Valley College, 2025 Miramar College. CPL Dashboard provides public tracking and recognition data.</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Three MAP College of Year awards given (2023-2025); CPL Dashboard live with public data</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September 2,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College Tracking &amp; Recognition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2026-09-02T16:44:32.135Z</dcterms:created>
  <dcterms:modified xsi:type="dcterms:W3CDTF">2026-09-02T16:44:32.135Z</dcterms:modified>
</cp:coreProperties>
</file>

<file path=docProps/custom.xml><?xml version="1.0" encoding="utf-8"?>
<Properties xmlns="http://schemas.openxmlformats.org/officeDocument/2006/custom-properties" xmlns:vt="http://schemas.openxmlformats.org/officeDocument/2006/docPropsVTypes"/>
</file>