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3.3  Statewide Adoption &amp; Participation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21,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$5,900,000 (CPL Infrastructure &amp; Scaling ($15M one-time))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84 colleges at active participation threshold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130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84/50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84/60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84/80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84/90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84/100</w:t>
            </w:r>
          </w:p>
        </w:tc>
      </w:tr>
    </w:tbl>
    <w:p>
      <w:pPr>
        <w:pStyle w:val="Heading2"/>
      </w:pPr>
      <w:r>
        <w:t xml:space="preserve">Description</w:t>
      </w:r>
    </w:p>
    <w:p>
      <w:pPr>
        <w:spacing w:after="160"/>
      </w:pPr>
      <w:r>
        <w:rPr>
          <w:color w:val="444444"/>
          <w:sz w:val="21"/>
          <w:szCs w:val="21"/>
          <w:rFonts w:ascii="Cambria" w:cs="Cambria" w:eastAsia="Cambria" w:hAnsi="Cambria"/>
        </w:rPr>
        <w:t xml:space="preserve">Colleges. IHLs, and agencies throughout the system and state actively use the MAP CPL infrastructure to offer, document and award CPL.</w:t>
      </w:r>
    </w:p>
    <w:p>
      <w:pPr>
        <w:pStyle w:val="Heading2"/>
      </w:pPr>
      <w:r>
        <w:t xml:space="preserve">Latest Update</w:t>
      </w:r>
    </w:p>
    <w:p>
      <w:pPr>
        <w:spacing w:after="60"/>
      </w:pPr>
      <w:r>
        <w:rPr>
          <w:color w:val="666666"/>
          <w:sz w:val="18"/>
          <w:szCs w:val="18"/>
          <w:rFonts w:ascii="Cambria" w:cs="Cambria" w:eastAsia="Cambria" w:hAnsi="Cambria"/>
        </w:rPr>
        <w:t xml:space="preserve">Date: 2026-10-18</w:t>
      </w:r>
    </w:p>
    <w:p>
      <w:pPr>
        <w:spacing w:after="160"/>
      </w:pPr>
      <w:r>
        <w:rPr>
          <w:color w:val="444444"/>
          <w:sz w:val="21"/>
          <w:szCs w:val="21"/>
          <w:rFonts w:ascii="Cambria" w:cs="Cambria" w:eastAsia="Cambria" w:hAnsi="Cambria"/>
        </w:rPr>
        <w:t xml:space="preserve">We have exceeded our goal of over 60 colleges active in the MAP Platform and have now successfully onboarded one of three target CSU campuses ahead of the June 2027 milestone. This activity is exceeding expectations.</w:t>
      </w:r>
    </w:p>
    <w:p>
      <w:pPr>
        <w:pStyle w:val="Heading2"/>
      </w:pPr>
      <w:r>
        <w:t xml:space="preserve">Workplan Notes</w:t>
      </w:r>
    </w:p>
    <w:p>
      <w:pPr>
        <w:spacing w:after="160"/>
      </w:pPr>
      <w:r>
        <w:rPr>
          <w:color w:val="444444"/>
          <w:sz w:val="21"/>
          <w:szCs w:val="21"/>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p>
      <w:pPr>
        <w:pStyle w:val="Heading2"/>
      </w:pPr>
      <w:r>
        <w:t xml:space="preserve">Milestones</w:t>
      </w:r>
    </w:p>
    <w:p>
      <w:pPr>
        <w:spacing w:after="160"/>
      </w:pPr>
      <w:r>
        <w:rPr>
          <w:color w:val="444444"/>
          <w:sz w:val="21"/>
          <w:szCs w:val="21"/>
          <w:rFonts w:ascii="Cambria" w:cs="Cambria" w:eastAsia="Cambria" w:hAnsi="Cambria"/>
        </w:rPr>
        <w:t xml:space="preserve">2025-26 target: 50 colleges active (exceeded at 84); 114 colleges funded; 53 at implementation stage</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institutions meet active threshold; 114 received $50K grants; 53 at implementation stage, 13 showing growth</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84 colleges meet active threshold; 114 received $50K grants; 53 at implementation stage, 13 showing growth</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84 colleges meet active threshold; 114 received $50K grants; 53 at implementation stage, 13 showing growth</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Statewide Adoption &amp; Participation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2026-10-21T11:58:13.343Z</dcterms:created>
  <dcterms:modified xsi:type="dcterms:W3CDTF">2026-10-21T11:58:13.343Z</dcterms:modified>
</cp:coreProperties>
</file>

<file path=docProps/custom.xml><?xml version="1.0" encoding="utf-8"?>
<Properties xmlns="http://schemas.openxmlformats.org/officeDocument/2006/custom-properties" xmlns:vt="http://schemas.openxmlformats.org/officeDocument/2006/docPropsVTypes"/>
</file>