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4.8  Futuro Behavioral Healthcare Project</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  </w:t>
      </w:r>
      <w:r>
        <w:rPr>
          <w:color w:val="666666"/>
          <w:sz w:val="19"/>
          <w:szCs w:val="19"/>
          <w:rFonts w:ascii="Cambria" w:cs="Cambria" w:eastAsia="Cambria" w:hAnsi="Cambria"/>
        </w:rPr>
        <w:t xml:space="preserve">October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 ()</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bl>
    <w:p>
      <w:pPr>
        <w:pStyle w:val="Heading2"/>
      </w:pPr>
      <w:r>
        <w:t xml:space="preserve">Description</w:t>
      </w:r>
    </w:p>
    <w:p>
      <w:pPr>
        <w:spacing w:after="160"/>
      </w:pPr>
      <w:r>
        <w:rPr>
          <w:color w:val="444444"/>
          <w:sz w:val="21"/>
          <w:szCs w:val="21"/>
          <w:rFonts w:ascii="Cambria" w:cs="Cambria" w:eastAsia="Cambria" w:hAnsi="Cambria"/>
        </w:rPr>
        <w:t xml:space="preserve">A partnership with Futuro Health to award credit for its behavioral healthcare training, beginning with the Human Touch Healthcare program, which holds an ACE credit recommendation of three lower-division units. The project builds the crosswalk from Futuro's programs to aligned courses at five priority colleges (Merritt, City College of San Francisco, North Orange Continuing Education, Sacramento City and Contra Costa) and the faculty articulations that let its scholars receive CPL toward health and behavioral health degrees.</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The Futuro Health CPL project completed Phase 1 (Project Launch and CPL Design) in September 2026 and is transitioning into Phase 2, having established governance, developed a tiered crosswalk identifying five priority colleges (Merritt, City College of San Francisco, North Orange Continuing Education, Sacramento City, and Contra Costa) with aligned courses, and secured an ACE credit recommendation for three lower-division units for the Human Touch Healthcare program. Key next steps for Q3 include initiating faculty outreach at the five priority colleges, advancing articulation work for HTH and Medi-Cal Peer Support Specialist, finalizing the data-sharing MOU, and preparing student-facing CPL communications once HTH approval is obtained.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Futuro Behavioral Healthcare Project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2026-10-21T11:58:13.498Z</dcterms:created>
  <dcterms:modified xsi:type="dcterms:W3CDTF">2026-10-21T11:58:13.498Z</dcterms:modified>
</cp:coreProperties>
</file>

<file path=docProps/custom.xml><?xml version="1.0" encoding="utf-8"?>
<Properties xmlns="http://schemas.openxmlformats.org/officeDocument/2006/custom-properties" xmlns:vt="http://schemas.openxmlformats.org/officeDocument/2006/docPropsVTypes"/>
</file>