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17,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57,414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276k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14,494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62 JSTs to MAP, with estimated student savings of $391M and projected 20-year economic impact of $1.59B.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57,414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276k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14,494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$391M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$1.59B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Since June, MAP has delivered improvements across the Student Portal, intake and matching, dashboards, notifications, accessibility, security, bulk data processing, and articulation workflows, including a recent Student Portal release addressing approximately 30 tickets. The Exhibit Module is undergoing intensive QA and remediation for email routing and new-data-model regressions before production release.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System Integration &amp; Interoperability work continues across multiple fronts: MAP-to-CTDL mapping has advanced from planning to detailed schema and sample publishing; Program Pathways Mapper Phase 1 is complete; integration efforts are ongoing with Credential Engine, ACE, Career Passport, CVC, COCI, SIS vendors, and other statewide systems; and a project with N2N demonstrated MAP's API integration capabilities with third-party systems. Local API implementation conversations have begun with Chaffey College IT, with the API complete and functional but not yet in production use.</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Student Portal is live and recently received a major release of roughly 30 enhancements, including improved college location mapping, a simpler CPL profile builder, accessibility updates, and petition language revised to align with the Landing Page. Upcoming improvements will display the colleges that match a student’s CPL profile while also giving students an easy way to contact any college, whether or not a match was found. A new user-supplied credential tagging feature will further improve match accuracy. Near-term priorities remain production verification and usage measurement. We have also released custom Student Portal Quick Start guides for Veterans and Workforce Board clients.</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California Credential Registry planning has advanced across three coordinated tracks: technical infrastructure, statewide governance, and user-centered design. COCI data has been received and CTDL-aligned sample publishing is underway, while stakeholders are defining authoritative publishing responsibilities and a phased implementation approach.</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October 15, 2026, the statewide CPL Dashboard reports 83,917 transcribed CPL units and 239,997 eligible units across 55,133 students served. Current transcription represents 43% of the 2026–27 cumulative goal of 195,000 units and approximately 22% of the stretch target of 390,000 units.
Statewide efforts continue to focus on increasing CPL transcription through expanded college participation, improved institutional processes, faculty and counselor training, and MAP implementation support. With approximately 156,080 eligible units not yet transcribed, continued emphasis is being placed on helping colleges move students from CPL eligibility to awarded and transcribed credit.</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are up to 50 student success stories, collected from various statewide and role-based groups.</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0% average  |  0 of 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4.7  EMS Corps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2  Stretch: 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46%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p>
      <w:pPr>
        <w:spacing w:before="60" w:after="40"/>
      </w:pPr>
      <w:r>
        <w:rPr>
          <w:i/>
          <w:iCs/>
          <w:color w:val="666666"/>
          <w:sz w:val="18"/>
          <w:szCs w:val="18"/>
          <w:rFonts w:ascii="Cambria" w:cs="Cambria" w:eastAsia="Cambria" w:hAnsi="Cambria"/>
        </w:rPr>
        <w:t xml:space="preserve">2030 Goal: 0  Stretch: 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N2N/Prism pilot has expanded from Santiago Canyon to American River College and additional statewide use cases, achieving 93–95% course-mapping accuracy with human review, petition generation, and approved CPL data push to MAP. PeopleSoft integration is planned for American River, and MAP is evaluating complementary competency-reconstruction tools for apprenticeship-to-course comparison while prioritizing reliable implementation at initial colleges.</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Vision Resource Center technical assistance modules focused on CPL policy, procedure, resources, tools, integrations, opportunities for all constituents.</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progress on CPL Vision Resource Center module revision: 10 of 14 modules (71%) are finalized, with 8 submitted to VRC, 2 awaiting handoff, and 4 in development or review. Current focus is on completing remaining reviews, incorporating subject matter expert feedback, and submitting outstanding modules.</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4.8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4.7 EMS Corps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4.8 Futuro Behavioral Healthcare Project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57,414 students served, 14,494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17,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2026-10-17T10:51:33.593Z</dcterms:created>
  <dcterms:modified xsi:type="dcterms:W3CDTF">2026-10-17T10:51:33.593Z</dcterms:modified>
</cp:coreProperties>
</file>

<file path=docProps/custom.xml><?xml version="1.0" encoding="utf-8"?>
<Properties xmlns="http://schemas.openxmlformats.org/officeDocument/2006/custom-properties" xmlns:vt="http://schemas.openxmlformats.org/officeDocument/2006/docPropsVTypes"/>
</file>