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28,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58,235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279k CPL units transcripted across the system.</w:t>
      </w:r>
    </w:p>
    <w:p>
      <w:pPr>
        <w:pStyle w:val="ListParagraph"/>
        <w:numPr>
          <w:ilvl w:val="0"/>
          <w:numId w:val="2"/>
        </w:numPr>
        <w:spacing w:after="80"/>
      </w:pPr>
      <w:r>
        <w:rPr>
          <w:sz w:val="21"/>
          <w:szCs w:val="21"/>
          <w:rFonts w:ascii="Cambria" w:cs="Cambria" w:eastAsia="Cambria" w:hAnsi="Cambria"/>
        </w:rPr>
        <w:t xml:space="preserve">105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14,727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65 JSTs to MAP, with estimated student savings of $395M and projected 20-year economic impact of $1.6B.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58,235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279k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14,727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105</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160"/>
      </w:pPr>
      <w:r>
        <w:rPr>
          <w:b/>
          <w:bCs/>
          <w:color w:val="163A5F"/>
          <w:sz w:val="20"/>
          <w:szCs w:val="20"/>
          <w:rFonts w:ascii="Cambria" w:cs="Cambria" w:eastAsia="Cambria" w:hAnsi="Cambria"/>
        </w:rPr>
        <w:t xml:space="preserve">Latest update (2026-10-23): </w:t>
      </w:r>
      <w:r>
        <w:rPr>
          <w:color w:val="444444"/>
          <w:sz w:val="20"/>
          <w:szCs w:val="20"/>
          <w:rFonts w:ascii="Cambria" w:cs="Cambria" w:eastAsia="Cambria" w:hAnsi="Cambria"/>
        </w:rPr>
        <w:t xml:space="preserve">Faculty workgroups continue to advance Credit for Prior Learning (CPL) efforts through the review, development, and implementation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Knowledge of statewide adoptions continue to grow throughout the state with the creation of a STAT Excel worksheet being shared with colleges upon request, providing a snapshot of each college’s alignment between existing CPL offerings and applicable statewide credit recommendations. This resource is helping colleges identify CPL opportunities within the 12 disciplines.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58,235 students served, 14,727 statewide credit recommendations, and 105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28,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2026-10-28T13:04:23.775Z</dcterms:created>
  <dcterms:modified xsi:type="dcterms:W3CDTF">2026-10-28T13:04:23.775Z</dcterms:modified>
</cp:coreProperties>
</file>

<file path=docProps/custom.xml><?xml version="1.0" encoding="utf-8"?>
<Properties xmlns="http://schemas.openxmlformats.org/officeDocument/2006/custom-properties" xmlns:vt="http://schemas.openxmlformats.org/officeDocument/2006/docPropsVTypes"/>
</file>