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31,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2026-10-24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Knowledge of statewide adoptions continue to grow throughout the state with the creation of a STAT Excel worksheet being shared with colleges upon request, providing a snapshot of each college’s alignment between existing CPL offerings and applicable statewide credit recommendations. This resource is helping colleges identify CPL opportunities within the 12 disciplines.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31,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2026-10-31T03:11:31.187Z</dcterms:created>
  <dcterms:modified xsi:type="dcterms:W3CDTF">2026-10-31T03:11:31.187Z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