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2026-10-20</w:t>
      </w:r>
    </w:p>
    <w:p>
      <w:pPr>
        <w:spacing w:after="160"/>
      </w:pPr>
      <w:r>
        <w:rPr>
          <w:color w:val="444444"/>
          <w:sz w:val="21"/>
          <w:szCs w:val="21"/>
          <w:rFonts w:ascii="Cambria" w:cs="Cambria" w:eastAsia="Cambria" w:hAnsi="Cambria"/>
        </w:rPr>
        <w:t xml:space="preserve">Since May 1st, 2026, CCCCO Veteran Sprint Updates – Goal 1: 5,768 new Joint Services Transcripts were uploaded in MAP platform. To date (October 20th, 2026), there are 29,165 JSTs uploaded into the MAP platform. There are 63-star colleges. Goal 2: To date (October 20th,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To date, 49 colleges in total created 690 unique college courses implemented, 1,193 unique CRs implemented, and 1,198 All CRs implemented.</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2026-10-25T16:36:34.854Z</dcterms:created>
  <dcterms:modified xsi:type="dcterms:W3CDTF">2026-10-25T16:36:34.854Z</dcterms:modified>
</cp:coreProperties>
</file>

<file path=docProps/custom.xml><?xml version="1.0" encoding="utf-8"?>
<Properties xmlns="http://schemas.openxmlformats.org/officeDocument/2006/custom-properties" xmlns:vt="http://schemas.openxmlformats.org/officeDocument/2006/docPropsVTypes"/>
</file>